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14" w:rsidRDefault="00B56014" w:rsidP="00B56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B56014" w:rsidRDefault="00B56014" w:rsidP="00B56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</w:t>
      </w:r>
    </w:p>
    <w:p w:rsidR="00B56014" w:rsidRDefault="00B56014" w:rsidP="00B56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14" w:rsidRDefault="00B56014" w:rsidP="00B56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14" w:rsidRDefault="00B56014" w:rsidP="00B56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6014" w:rsidRDefault="00B56014" w:rsidP="00B56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B56014" w:rsidRDefault="00B56014" w:rsidP="00B56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14" w:rsidRDefault="00B56014" w:rsidP="00B56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14" w:rsidRDefault="00B56014" w:rsidP="00B56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56014" w:rsidRDefault="00B56014" w:rsidP="00B56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14" w:rsidRPr="00285597" w:rsidRDefault="00285597" w:rsidP="00B56014">
      <w:pPr>
        <w:pStyle w:val="9"/>
        <w:shd w:val="clear" w:color="auto" w:fill="auto"/>
        <w:spacing w:after="0" w:line="240" w:lineRule="auto"/>
        <w:rPr>
          <w:sz w:val="28"/>
          <w:szCs w:val="28"/>
          <w:u w:val="single"/>
        </w:rPr>
      </w:pPr>
      <w:r w:rsidRPr="00285597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.02.2024г.</w:t>
      </w:r>
      <w:r w:rsidR="00B56014">
        <w:rPr>
          <w:sz w:val="28"/>
          <w:szCs w:val="28"/>
          <w:u w:val="single"/>
        </w:rPr>
        <w:t xml:space="preserve"> </w:t>
      </w:r>
      <w:r w:rsidR="00B56014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42</w:t>
      </w:r>
      <w:r>
        <w:rPr>
          <w:sz w:val="28"/>
          <w:szCs w:val="28"/>
          <w:u w:val="single"/>
        </w:rPr>
        <w:tab/>
      </w:r>
    </w:p>
    <w:p w:rsidR="00B56014" w:rsidRDefault="00B56014" w:rsidP="00B56014">
      <w:pPr>
        <w:pStyle w:val="9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г.Железногорск</w:t>
      </w:r>
    </w:p>
    <w:p w:rsidR="00B56014" w:rsidRDefault="00B56014" w:rsidP="00B56014">
      <w:pPr>
        <w:pStyle w:val="9"/>
        <w:shd w:val="clear" w:color="auto" w:fill="auto"/>
        <w:spacing w:after="0" w:line="240" w:lineRule="auto"/>
        <w:rPr>
          <w:sz w:val="32"/>
          <w:szCs w:val="32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rPr>
          <w:sz w:val="32"/>
          <w:szCs w:val="32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rPr>
          <w:sz w:val="32"/>
          <w:szCs w:val="32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rPr>
          <w:sz w:val="32"/>
          <w:szCs w:val="32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rPr>
          <w:sz w:val="32"/>
          <w:szCs w:val="32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О внесении изменений в муниципальную программу «Комплексное развитие сельских территорий Железногорского района</w:t>
      </w:r>
      <w:r>
        <w:rPr>
          <w:rStyle w:val="2"/>
          <w:b/>
          <w:sz w:val="28"/>
          <w:szCs w:val="28"/>
        </w:rPr>
        <w:t xml:space="preserve"> </w:t>
      </w:r>
      <w:r>
        <w:rPr>
          <w:rStyle w:val="1"/>
          <w:b/>
          <w:sz w:val="28"/>
          <w:szCs w:val="28"/>
        </w:rPr>
        <w:t>Курской области»</w:t>
      </w:r>
    </w:p>
    <w:p w:rsidR="00B56014" w:rsidRDefault="00B56014" w:rsidP="00B56014">
      <w:pPr>
        <w:pStyle w:val="9"/>
        <w:shd w:val="clear" w:color="auto" w:fill="auto"/>
        <w:spacing w:after="0" w:line="240" w:lineRule="auto"/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rPr>
          <w:sz w:val="28"/>
          <w:szCs w:val="28"/>
        </w:rPr>
      </w:pPr>
    </w:p>
    <w:p w:rsidR="00B56014" w:rsidRPr="00B56014" w:rsidRDefault="00B56014" w:rsidP="00B560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14">
        <w:rPr>
          <w:rFonts w:ascii="Times New Roman" w:hAnsi="Times New Roman" w:cs="Times New Roman"/>
          <w:sz w:val="28"/>
          <w:szCs w:val="28"/>
        </w:rPr>
        <w:t xml:space="preserve">В соответствии с ст. </w:t>
      </w:r>
      <w:r w:rsidRPr="00B56014">
        <w:rPr>
          <w:rStyle w:val="1"/>
          <w:rFonts w:ascii="Times New Roman" w:eastAsia="Arial Unicode MS" w:hAnsi="Times New Roman"/>
          <w:sz w:val="28"/>
          <w:szCs w:val="28"/>
        </w:rPr>
        <w:t>179 Бюджетного кодекса РФ, Федеральным</w:t>
      </w:r>
      <w:r w:rsidRPr="00B56014">
        <w:rPr>
          <w:rStyle w:val="2"/>
          <w:rFonts w:ascii="Times New Roman" w:eastAsia="Arial Unicode MS" w:hAnsi="Times New Roman"/>
          <w:sz w:val="28"/>
          <w:szCs w:val="28"/>
        </w:rPr>
        <w:t xml:space="preserve"> </w:t>
      </w:r>
      <w:r w:rsidRPr="00B56014">
        <w:rPr>
          <w:rStyle w:val="1"/>
          <w:rFonts w:ascii="Times New Roman" w:eastAsia="Arial Unicode MS" w:hAnsi="Times New Roman"/>
          <w:sz w:val="28"/>
          <w:szCs w:val="28"/>
        </w:rPr>
        <w:t>Законом от 06.10,2003 № 131-ФЭ «Об общих принципах организации</w:t>
      </w:r>
      <w:r w:rsidRPr="00B56014">
        <w:rPr>
          <w:rStyle w:val="2"/>
          <w:rFonts w:ascii="Times New Roman" w:eastAsia="Arial Unicode MS" w:hAnsi="Times New Roman"/>
          <w:sz w:val="28"/>
          <w:szCs w:val="28"/>
        </w:rPr>
        <w:t xml:space="preserve"> </w:t>
      </w:r>
      <w:r w:rsidRPr="00B56014">
        <w:rPr>
          <w:rStyle w:val="1"/>
          <w:rFonts w:ascii="Times New Roman" w:eastAsia="Arial Unicode MS" w:hAnsi="Times New Roman"/>
          <w:sz w:val="28"/>
          <w:szCs w:val="28"/>
        </w:rPr>
        <w:t xml:space="preserve">местного самоуправления в Российской Федерации», </w:t>
      </w:r>
      <w:hyperlink r:id="rId4" w:history="1">
        <w:r w:rsidRPr="00B56014">
          <w:rPr>
            <w:rStyle w:val="ListLabel14"/>
          </w:rPr>
          <w:t>Постановлением</w:t>
        </w:r>
      </w:hyperlink>
      <w:r w:rsidRPr="00B560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мая 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государственной программой Курской области «Комплексное развитие сельских территорий Курской области», утвержденной постановлением Администрации Курской области от 06.11.2019г. №1066-па</w:t>
      </w:r>
      <w:r w:rsidRPr="00B56014">
        <w:rPr>
          <w:rStyle w:val="1"/>
          <w:rFonts w:ascii="Times New Roman" w:eastAsia="Arial Unicode MS" w:hAnsi="Times New Roman"/>
          <w:sz w:val="28"/>
          <w:szCs w:val="28"/>
        </w:rPr>
        <w:t>, (</w:t>
      </w:r>
      <w:r w:rsidRPr="00B56014">
        <w:rPr>
          <w:rFonts w:ascii="Times New Roman" w:hAnsi="Times New Roman" w:cs="Times New Roman"/>
          <w:color w:val="auto"/>
          <w:sz w:val="28"/>
          <w:szCs w:val="28"/>
        </w:rPr>
        <w:t xml:space="preserve">в редакции постановлений Администрации Курской области от о5.02.2020 № 95-па,от 31.03.2020 № 310-па, от о9.12.2020 № 1247-па, от 30.12.2020 № 1439-па, от о6.04.2021 № 337-па, от 12.11.2021 № 1178-па, от 11.01.2022 № 6-па, от 25.03.2022 № 288-па, от 17.10.2022 № 1154-па, от 24.11.2022 № 1352-па, от 30.12.2022 № 1680-па, от 28.12.2023г. №1416-пп, постановления Правительства Курской области от 31.03.2023 № 397-пп), </w:t>
      </w:r>
      <w:r w:rsidRPr="00B56014">
        <w:rPr>
          <w:rStyle w:val="1"/>
          <w:rFonts w:ascii="Times New Roman" w:eastAsia="Arial Unicode MS" w:hAnsi="Times New Roman"/>
          <w:sz w:val="28"/>
          <w:szCs w:val="28"/>
        </w:rPr>
        <w:t>Администрация Железногорского района</w:t>
      </w:r>
      <w:r w:rsidRPr="00B56014">
        <w:rPr>
          <w:rStyle w:val="4"/>
          <w:rFonts w:ascii="Times New Roman" w:eastAsia="Arial Unicode MS" w:hAnsi="Times New Roman"/>
        </w:rPr>
        <w:t xml:space="preserve"> </w:t>
      </w:r>
      <w:r w:rsidRPr="00B56014">
        <w:rPr>
          <w:rStyle w:val="1"/>
          <w:rFonts w:ascii="Times New Roman" w:eastAsia="Arial Unicode MS" w:hAnsi="Times New Roman"/>
          <w:sz w:val="28"/>
          <w:szCs w:val="28"/>
        </w:rPr>
        <w:t xml:space="preserve">Курской </w:t>
      </w:r>
      <w:r w:rsidRPr="00B56014">
        <w:rPr>
          <w:rFonts w:ascii="Times New Roman" w:hAnsi="Times New Roman" w:cs="Times New Roman"/>
          <w:sz w:val="28"/>
          <w:szCs w:val="28"/>
        </w:rPr>
        <w:t>области</w:t>
      </w: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tabs>
          <w:tab w:val="left" w:pos="730"/>
        </w:tabs>
        <w:spacing w:after="0" w:line="240" w:lineRule="auto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прилагаемые изменения в муниципальную программу </w:t>
      </w:r>
      <w:r>
        <w:rPr>
          <w:rStyle w:val="1"/>
          <w:sz w:val="28"/>
          <w:szCs w:val="28"/>
        </w:rPr>
        <w:t>«Комплексное</w:t>
      </w:r>
      <w:r>
        <w:rPr>
          <w:rStyle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</w:t>
      </w:r>
      <w:r>
        <w:rPr>
          <w:rStyle w:val="1"/>
          <w:sz w:val="28"/>
          <w:szCs w:val="28"/>
        </w:rPr>
        <w:t xml:space="preserve">сельских </w:t>
      </w:r>
      <w:r>
        <w:rPr>
          <w:sz w:val="28"/>
          <w:szCs w:val="28"/>
        </w:rPr>
        <w:t>территорий Железногорского</w:t>
      </w:r>
      <w:r>
        <w:rPr>
          <w:rStyle w:val="1"/>
          <w:sz w:val="28"/>
          <w:szCs w:val="28"/>
        </w:rPr>
        <w:t xml:space="preserve"> района Курской области», утвержденную постановлением Администрации Железногорского района Курской области от 28.01.2020 №49 «Об утверждении </w:t>
      </w:r>
      <w:r>
        <w:rPr>
          <w:sz w:val="28"/>
          <w:szCs w:val="28"/>
        </w:rPr>
        <w:t xml:space="preserve">муниципальной программы </w:t>
      </w:r>
      <w:r>
        <w:rPr>
          <w:rStyle w:val="1"/>
          <w:sz w:val="28"/>
          <w:szCs w:val="28"/>
        </w:rPr>
        <w:t>«Комплексное</w:t>
      </w:r>
      <w:r>
        <w:rPr>
          <w:rStyle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</w:t>
      </w:r>
      <w:r>
        <w:rPr>
          <w:rStyle w:val="1"/>
          <w:sz w:val="28"/>
          <w:szCs w:val="28"/>
        </w:rPr>
        <w:t xml:space="preserve">сельских </w:t>
      </w:r>
      <w:r>
        <w:rPr>
          <w:sz w:val="28"/>
          <w:szCs w:val="28"/>
        </w:rPr>
        <w:t>территорий Железногорского</w:t>
      </w:r>
      <w:r>
        <w:rPr>
          <w:rStyle w:val="1"/>
          <w:sz w:val="28"/>
          <w:szCs w:val="28"/>
        </w:rPr>
        <w:t xml:space="preserve"> района Курской области».</w:t>
      </w:r>
    </w:p>
    <w:p w:rsidR="00B56014" w:rsidRDefault="00B56014" w:rsidP="00B56014">
      <w:pPr>
        <w:ind w:firstLine="708"/>
        <w:jc w:val="both"/>
      </w:pPr>
      <w:r>
        <w:rPr>
          <w:rStyle w:val="1"/>
          <w:rFonts w:eastAsia="Arial Unicode MS"/>
          <w:sz w:val="28"/>
          <w:szCs w:val="28"/>
        </w:rPr>
        <w:lastRenderedPageBreak/>
        <w:t>2.</w:t>
      </w:r>
      <w:r>
        <w:rPr>
          <w:rStyle w:val="6"/>
          <w:rFonts w:eastAsia="Arial Unicode M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по информационному обеспечению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Б.В.Зинакову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) Администрации Железногорского района Курской области разместить муниципальную программу «Комплексное развитие сельских территорий Железногорского района Курской области",с изменениями утвержденными настоящим постановлением, на официальном сайте Администрации Железногорского района Курской области (подраздел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Миниципальные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программы» раздела «Муниципальные правовые акты» в информационно-телекоммуникационной сети «Интернет» в 2-х недельный срок со дня официального опубликования настоящего постановления.</w:t>
      </w:r>
    </w:p>
    <w:p w:rsidR="00B56014" w:rsidRDefault="00B56014" w:rsidP="00B56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«Жизнь района».</w:t>
      </w:r>
    </w:p>
    <w:p w:rsidR="00B56014" w:rsidRDefault="00B56014" w:rsidP="00B56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Железногорского района Кириченко Е.Н.</w:t>
      </w:r>
    </w:p>
    <w:p w:rsidR="00B56014" w:rsidRDefault="00B56014" w:rsidP="00B56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 и распространяется на правоотношения, возникшие с 01.01.2024 года.</w:t>
      </w: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jc w:val="both"/>
        <w:outlineLvl w:val="1"/>
        <w:rPr>
          <w:rStyle w:val="1"/>
          <w:rFonts w:eastAsia="Arial Unicode MS"/>
          <w:sz w:val="28"/>
          <w:szCs w:val="28"/>
          <w:lang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014" w:rsidRDefault="00B56014" w:rsidP="00B56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Железногорского </w:t>
      </w:r>
    </w:p>
    <w:p w:rsidR="00B56014" w:rsidRDefault="00B56014" w:rsidP="00B560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А.Д.Фролков</w:t>
      </w: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УТВЕРЖДЕНЫ</w:t>
      </w:r>
    </w:p>
    <w:p w:rsidR="00B56014" w:rsidRDefault="00B56014" w:rsidP="00B560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Постановлением Администрации</w:t>
      </w:r>
    </w:p>
    <w:p w:rsidR="00B56014" w:rsidRDefault="00B56014" w:rsidP="00B560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Железногорского района</w:t>
      </w:r>
    </w:p>
    <w:p w:rsidR="00B56014" w:rsidRDefault="00B56014" w:rsidP="00B560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от _______________№__________</w:t>
      </w:r>
    </w:p>
    <w:p w:rsidR="00B56014" w:rsidRDefault="00B56014" w:rsidP="00B560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6014" w:rsidRDefault="00B56014" w:rsidP="00B560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6014" w:rsidRDefault="00B56014" w:rsidP="00B560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ИЗМЕНЕНИЯ</w:t>
      </w:r>
    </w:p>
    <w:p w:rsidR="00B56014" w:rsidRDefault="00B56014" w:rsidP="00B560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которые вносятся в муниципальную программу «Комплексное развитие</w:t>
      </w:r>
    </w:p>
    <w:p w:rsidR="00B56014" w:rsidRDefault="00B56014" w:rsidP="00B560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сельских территорий Железногорского района Курской области»</w:t>
      </w:r>
    </w:p>
    <w:p w:rsidR="00B56014" w:rsidRDefault="00B56014" w:rsidP="00B5601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B56014" w:rsidRDefault="00B56014" w:rsidP="00B5601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1.Позицию, касающуюся объемов бюджетных ассигнований программы, паспорта муниципальной программы изложить в следующей редакции:</w:t>
      </w:r>
    </w:p>
    <w:tbl>
      <w:tblPr>
        <w:tblW w:w="9034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288"/>
        <w:gridCol w:w="359"/>
        <w:gridCol w:w="5387"/>
      </w:tblGrid>
      <w:tr w:rsidR="00B56014" w:rsidTr="00B56014">
        <w:tc>
          <w:tcPr>
            <w:tcW w:w="3288" w:type="dxa"/>
            <w:hideMark/>
          </w:tcPr>
          <w:p w:rsidR="00B56014" w:rsidRDefault="00B5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«Объемы бюджетных ассигнований программы</w:t>
            </w:r>
          </w:p>
        </w:tc>
        <w:tc>
          <w:tcPr>
            <w:tcW w:w="359" w:type="dxa"/>
            <w:hideMark/>
          </w:tcPr>
          <w:p w:rsidR="00B56014" w:rsidRDefault="00B56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  <w:hideMark/>
          </w:tcPr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муниципальной программы составляет 523 452,84462 тысяч рублей, в том числе по годам: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12 686,344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24 824,559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216 025,2528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269 916,64882 тыс.рублей;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тыс.рублей.</w:t>
            </w:r>
          </w:p>
          <w:p w:rsidR="00B56014" w:rsidRDefault="00B56014">
            <w:pPr>
              <w:pStyle w:val="ConsPlusNormal"/>
              <w:tabs>
                <w:tab w:val="left" w:pos="31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бюджета, источником финансового обеспечения которых являются средства федерального бюджета, -434 988,924 тыс. рублей,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12 138,888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22 492,426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0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173 272,605тыс.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227 085,005тыс.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Железногорского района 19 613,7354 тыс. рублей,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547,456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446,823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0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8 070,0438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10 549,4126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 – 68 850,15522 тыс. рублей: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0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1 885,32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34 682,604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32 282,23122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рублей.»</w:t>
            </w:r>
          </w:p>
        </w:tc>
      </w:tr>
    </w:tbl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Раздел Х муниципальной программы изложить в следующей редакции :</w:t>
      </w:r>
    </w:p>
    <w:p w:rsidR="00B56014" w:rsidRDefault="00B56014" w:rsidP="00B56014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«X. Подпрограмма муниципальной программы</w:t>
      </w:r>
    </w:p>
    <w:p w:rsidR="00B56014" w:rsidRDefault="00B56014" w:rsidP="00B56014">
      <w:pPr>
        <w:ind w:firstLine="709"/>
        <w:jc w:val="both"/>
        <w:rPr>
          <w:rFonts w:ascii="Times New Roman" w:hAnsi="Times New Roman" w:cs="Times New Roman"/>
        </w:rPr>
      </w:pPr>
    </w:p>
    <w:p w:rsidR="00B56014" w:rsidRDefault="00B56014" w:rsidP="00B56014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ПОДПРОГРАММА 1</w:t>
      </w:r>
    </w:p>
    <w:p w:rsidR="00B56014" w:rsidRDefault="00B56014" w:rsidP="00B5601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«СОЗДАНИЕ И РАЗВИТИЕ ИНФРАСТРУКТУРЫ НА СЕЛЬСКИХ ТЕРРИТОРИЯХ »</w:t>
      </w:r>
    </w:p>
    <w:p w:rsidR="00B56014" w:rsidRDefault="00B56014" w:rsidP="00B56014">
      <w:pPr>
        <w:rPr>
          <w:rFonts w:ascii="Times New Roman" w:hAnsi="Times New Roman" w:cs="Times New Roman"/>
        </w:rPr>
      </w:pPr>
    </w:p>
    <w:p w:rsidR="00B56014" w:rsidRDefault="00B56014" w:rsidP="00B56014">
      <w:pPr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</w:t>
      </w:r>
    </w:p>
    <w:p w:rsidR="00B56014" w:rsidRDefault="00B56014" w:rsidP="00B5601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подпрограммы 1 «Создание и развитие инфраструктуры на сельских территориях»</w:t>
      </w:r>
    </w:p>
    <w:p w:rsidR="00B56014" w:rsidRDefault="00B56014" w:rsidP="00B56014">
      <w:pPr>
        <w:jc w:val="both"/>
        <w:rPr>
          <w:rFonts w:ascii="Times New Roman" w:hAnsi="Times New Roman" w:cs="Times New Roman"/>
        </w:rPr>
      </w:pPr>
    </w:p>
    <w:tbl>
      <w:tblPr>
        <w:tblW w:w="9035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6"/>
        <w:gridCol w:w="359"/>
        <w:gridCol w:w="5390"/>
      </w:tblGrid>
      <w:tr w:rsidR="00B56014" w:rsidTr="00B56014">
        <w:tc>
          <w:tcPr>
            <w:tcW w:w="3286" w:type="dxa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59" w:type="dxa"/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0" w:type="dxa"/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строительству и транспорту Администрации Железногорского района Курской области</w:t>
            </w:r>
          </w:p>
        </w:tc>
      </w:tr>
      <w:tr w:rsidR="00B56014" w:rsidTr="00B56014">
        <w:tc>
          <w:tcPr>
            <w:tcW w:w="3286" w:type="dxa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59" w:type="dxa"/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0" w:type="dxa"/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строительству и транспорту Администрации Железногорского района Курской области</w:t>
            </w:r>
          </w:p>
        </w:tc>
      </w:tr>
      <w:tr w:rsidR="00B56014" w:rsidTr="00B56014">
        <w:tc>
          <w:tcPr>
            <w:tcW w:w="3286" w:type="dxa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359" w:type="dxa"/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0" w:type="dxa"/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56014" w:rsidTr="00B56014">
        <w:tc>
          <w:tcPr>
            <w:tcW w:w="3286" w:type="dxa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359" w:type="dxa"/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0" w:type="dxa"/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комфортных условий жизнедеятельности в сельской местности</w:t>
            </w:r>
          </w:p>
        </w:tc>
      </w:tr>
      <w:tr w:rsidR="00B56014" w:rsidTr="00B56014">
        <w:tc>
          <w:tcPr>
            <w:tcW w:w="3286" w:type="dxa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59" w:type="dxa"/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0" w:type="dxa"/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сельских населенных пунктов, имеющих доступ к информационно-телекоммуникационной сети «Интернет»;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населения питьевой водой; сокращение среднего радиуса доступности сельскому населению фельдшерско-акушерских пунктов;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автомобильными дорогами общего пользования с твердым покрытием, ведущими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продукции;</w:t>
            </w:r>
          </w:p>
          <w:p w:rsidR="00B56014" w:rsidRDefault="00B56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сельских территорий;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комплексного обустройства сельских поселений объектами инженерной инфраструктуры</w:t>
            </w:r>
          </w:p>
        </w:tc>
      </w:tr>
      <w:tr w:rsidR="00B56014" w:rsidTr="00B56014">
        <w:tc>
          <w:tcPr>
            <w:tcW w:w="3286" w:type="dxa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359" w:type="dxa"/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0" w:type="dxa"/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реализованных проектов комплексного развития сельских территорий (сельских агломераций) - 1;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ввода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– 0 км.;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ввода в действие объектов инженерного обустройства: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распределительных газовых сетей –</w:t>
            </w:r>
            <w:r>
              <w:rPr>
                <w:rFonts w:ascii="Times New Roman" w:hAnsi="Times New Roman" w:cs="Times New Roman"/>
                <w:color w:val="auto"/>
              </w:rPr>
              <w:t>16,68км</w:t>
            </w:r>
            <w:r>
              <w:rPr>
                <w:rFonts w:ascii="Times New Roman" w:hAnsi="Times New Roman" w:cs="Times New Roman"/>
              </w:rPr>
              <w:t>.;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локальных водопроводов </w:t>
            </w:r>
            <w:r>
              <w:rPr>
                <w:rFonts w:ascii="Times New Roman" w:hAnsi="Times New Roman" w:cs="Times New Roman"/>
                <w:color w:val="auto"/>
              </w:rPr>
              <w:t>–  0 км.;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 пунктов, расположенных на сельских территориях, в которых реализованы проекты комплексной застройки - 1;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реализованных проектов по благоустройству сельских территорий - 1</w:t>
            </w:r>
          </w:p>
        </w:tc>
      </w:tr>
      <w:tr w:rsidR="00B56014" w:rsidTr="00B56014">
        <w:tc>
          <w:tcPr>
            <w:tcW w:w="3286" w:type="dxa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359" w:type="dxa"/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0" w:type="dxa"/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2020 - 2025 годы, в 1 этап;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3.4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инженерной инфраструктуры на сельских территориях»</w:t>
            </w:r>
          </w:p>
        </w:tc>
      </w:tr>
      <w:tr w:rsidR="00B56014" w:rsidTr="00B56014">
        <w:tc>
          <w:tcPr>
            <w:tcW w:w="3286" w:type="dxa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359" w:type="dxa"/>
            <w:hideMark/>
          </w:tcPr>
          <w:p w:rsidR="00B56014" w:rsidRDefault="00B56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390" w:type="dxa"/>
            <w:hideMark/>
          </w:tcPr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муниципальной программы составляет 523 452,84462 тысяч рублей, в том числе по годам: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12 686,344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24 824,559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216 025,2528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269 916,64882 тыс.рублей;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тыс.рублей.</w:t>
            </w:r>
          </w:p>
          <w:p w:rsidR="00B56014" w:rsidRDefault="00B56014">
            <w:pPr>
              <w:pStyle w:val="ConsPlusNormal"/>
              <w:tabs>
                <w:tab w:val="left" w:pos="31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бюджета, источником финансового обеспечения которых являются средства федерального бюджета, -434 988,924 тыс. рублей,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12 138,888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22 492,426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0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173 272,605тыс.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227 085,005тыс.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Железногорского района 19 613,7354 тыс. рублей,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547,456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446,823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0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8 070,0438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10 549,4126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 – 68 850,15522 тыс. рублей: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0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1 885,32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34 682,604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32 282,23122 тыс. рублей;</w:t>
            </w:r>
          </w:p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рублей.»</w:t>
            </w:r>
          </w:p>
        </w:tc>
      </w:tr>
      <w:tr w:rsidR="00B56014" w:rsidTr="00B56014">
        <w:tc>
          <w:tcPr>
            <w:tcW w:w="3286" w:type="dxa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359" w:type="dxa"/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90" w:type="dxa"/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реализовать проектов комплексного развития сельских территорий (сельских агломераций) - 1;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ввести в эксплуатацию автомобильных дорог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– 0 км.;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ввести в действие объекты инженерного обустройства: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распределительных газовых сетей – 16,68км.;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локальных водопроводов – 0 км.;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населенных пунктов, расположенных на сельских территориях, в которых реализованы проекты комплексной застройки - 1;</w:t>
            </w:r>
          </w:p>
        </w:tc>
      </w:tr>
    </w:tbl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Приложение №4 к муниципальной программе «Комплексное развитие сельских территорий Железногорского района Курской области» изложить в новой редакции.</w:t>
      </w: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  <w:sectPr w:rsidR="00B56014">
          <w:pgSz w:w="11906" w:h="16838"/>
          <w:pgMar w:top="964" w:right="567" w:bottom="567" w:left="1531" w:header="709" w:footer="0" w:gutter="0"/>
          <w:cols w:space="720"/>
          <w:formProt w:val="0"/>
        </w:sect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B56014" w:rsidRDefault="00B56014" w:rsidP="00B56014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56014">
          <w:pgSz w:w="11906" w:h="16838"/>
          <w:pgMar w:top="964" w:right="567" w:bottom="567" w:left="1531" w:header="709" w:footer="0" w:gutter="0"/>
          <w:cols w:space="720"/>
          <w:formProt w:val="0"/>
        </w:sectPr>
      </w:pPr>
    </w:p>
    <w:p w:rsidR="00B56014" w:rsidRDefault="00B56014" w:rsidP="00B560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B56014" w:rsidRDefault="00B56014" w:rsidP="00B560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 Железногорского района</w:t>
      </w:r>
    </w:p>
    <w:p w:rsidR="00B56014" w:rsidRDefault="00B56014" w:rsidP="00B560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«Комплексное развитие сельских территорий</w:t>
      </w:r>
    </w:p>
    <w:p w:rsidR="00B56014" w:rsidRPr="00B56014" w:rsidRDefault="00B56014" w:rsidP="00B560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Железногорского района Курской области»</w:t>
      </w:r>
    </w:p>
    <w:p w:rsidR="00B56014" w:rsidRDefault="00B56014" w:rsidP="00B560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в редакции постановления Администрации </w:t>
      </w:r>
    </w:p>
    <w:p w:rsidR="00B56014" w:rsidRDefault="00B56014" w:rsidP="00B560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Железногорского района от __________№_______)</w:t>
      </w:r>
    </w:p>
    <w:p w:rsidR="00B56014" w:rsidRDefault="00B56014" w:rsidP="00B56014">
      <w:pPr>
        <w:jc w:val="center"/>
        <w:rPr>
          <w:rFonts w:ascii="Times New Roman" w:hAnsi="Times New Roman" w:cs="Times New Roman"/>
        </w:rPr>
      </w:pPr>
    </w:p>
    <w:p w:rsidR="00B56014" w:rsidRDefault="00B56014" w:rsidP="00B56014">
      <w:pPr>
        <w:jc w:val="center"/>
        <w:rPr>
          <w:rFonts w:ascii="Times New Roman" w:hAnsi="Times New Roman" w:cs="Times New Roman"/>
        </w:rPr>
      </w:pPr>
    </w:p>
    <w:p w:rsidR="00B56014" w:rsidRDefault="00B56014" w:rsidP="00B5601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РЕСУРСНОЕ ОБЕСПЕЧЕНИЕ И ПРОГНОЗНАЯ (СПРАВОЧНАЯ) ОЦЕНКА</w:t>
      </w:r>
    </w:p>
    <w:p w:rsidR="00B56014" w:rsidRDefault="00B56014" w:rsidP="00B5601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РАСХОДОВ ФЕДЕРАЛЬНОГО БЮДЖЕТА, ОБЛАСТНОГО БЮДЖЕТА, МЕСТНОГО БЮДЖЕТАИ ВНЕБЮДЖЕТНЫХ ИСТОЧНИКОВ НА РЕАЛИЗАЦИЮ ЦЕЛЕЙ МУНИЦИПАЛЬНОЙ ПРОГРАММЫ ЖЕЛЕЗНОГОРСКОГО РАЙОНА КУРСКОЙ ОБЛАСТИ«КОМПЛЕКСНОЕ РАЗВИТИЕ СЕЛЬСКИХ ТЕРРИТОРИЙ ЖЕЛЕЗНОГОРСКОГО РАЙОНА КУРСКОЙ ОБЛАСТИ»</w:t>
      </w:r>
    </w:p>
    <w:p w:rsidR="00B56014" w:rsidRDefault="00B56014" w:rsidP="00B56014">
      <w:pPr>
        <w:jc w:val="center"/>
        <w:rPr>
          <w:rFonts w:ascii="Times New Roman" w:hAnsi="Times New Roman" w:cs="Times New Roman"/>
          <w:b/>
          <w:bCs/>
        </w:rPr>
      </w:pPr>
    </w:p>
    <w:p w:rsidR="00B56014" w:rsidRDefault="00B56014" w:rsidP="00B5601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880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6"/>
        <w:gridCol w:w="1926"/>
        <w:gridCol w:w="2023"/>
        <w:gridCol w:w="27"/>
        <w:gridCol w:w="1509"/>
        <w:gridCol w:w="1532"/>
        <w:gridCol w:w="1532"/>
        <w:gridCol w:w="1414"/>
        <w:gridCol w:w="1532"/>
        <w:gridCol w:w="1529"/>
      </w:tblGrid>
      <w:tr w:rsidR="00B56014" w:rsidTr="00B56014"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B56014" w:rsidTr="00B56014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B56014" w:rsidTr="00B56014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56014" w:rsidTr="00B56014"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«Комплексное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</w:rPr>
              <w:t>Железногорско</w:t>
            </w:r>
            <w:proofErr w:type="spellEnd"/>
            <w:r>
              <w:rPr>
                <w:rFonts w:ascii="Times New Roman" w:hAnsi="Times New Roman" w:cs="Times New Roman"/>
              </w:rPr>
              <w:t>- го района Курской области»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12686,344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24824,559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216025,2528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269916,64882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15940,36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159384,3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129218,600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12138,888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6552,066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13888,305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97866,405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547,456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446,823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8070,0438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10549,4126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rPr>
          <w:trHeight w:val="579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1885,320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34682,604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32282,23122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и развитие инфраструктуры на сельских территориях»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rPr>
          <w:trHeight w:val="597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rPr>
          <w:trHeight w:val="306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облик сельских территорий: «Комплексное развитие поселка Долгая Щека, села Веретенино, села Линец</w:t>
            </w:r>
          </w:p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Железногорского района Курской области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216025,2528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269916,64882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159384,300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129218,600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13888,305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97866,405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8070,0438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10549,4126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rPr>
          <w:trHeight w:val="56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34682,604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32282,23122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транспортной инфраструктуры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rPr>
          <w:trHeight w:val="678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инженерной инфраструктуры на сельских территориях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12686,344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12138,888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547,456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rPr>
          <w:trHeight w:val="639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rPr>
          <w:trHeight w:val="306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Газоснабжение  ул. </w:t>
            </w:r>
            <w:proofErr w:type="spellStart"/>
            <w:r>
              <w:rPr>
                <w:rFonts w:ascii="Times New Roman" w:hAnsi="Times New Roman" w:cs="Times New Roman"/>
              </w:rPr>
              <w:t>Прибалочная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села Волково Железногорского района Курской области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7380,70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rPr>
          <w:trHeight w:val="49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rPr>
          <w:trHeight w:val="35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7064,472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rPr>
          <w:trHeight w:val="346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316,228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rPr>
          <w:trHeight w:val="495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rPr>
          <w:trHeight w:val="495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 х.Весёлый Железногорского района Курской области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5305,85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rPr>
          <w:trHeight w:val="495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rPr>
          <w:trHeight w:val="495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5074,416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rPr>
          <w:trHeight w:val="495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231,434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014" w:rsidTr="00B56014">
        <w:trPr>
          <w:trHeight w:val="495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014" w:rsidRDefault="00B56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14" w:rsidRDefault="00B56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6014" w:rsidRDefault="00B56014" w:rsidP="00B56014">
      <w:pPr>
        <w:outlineLvl w:val="0"/>
        <w:rPr>
          <w:rFonts w:ascii="Arial" w:hAnsi="Arial" w:cs="Arial"/>
        </w:rPr>
      </w:pPr>
    </w:p>
    <w:p w:rsidR="00B56014" w:rsidRDefault="00B56014" w:rsidP="00B56014">
      <w:pPr>
        <w:pStyle w:val="9"/>
        <w:shd w:val="clear" w:color="auto" w:fill="auto"/>
        <w:tabs>
          <w:tab w:val="left" w:pos="1230"/>
        </w:tabs>
        <w:spacing w:after="0" w:line="240" w:lineRule="auto"/>
        <w:jc w:val="both"/>
        <w:rPr>
          <w:rStyle w:val="6"/>
          <w:rFonts w:ascii="Arial" w:hAnsi="Arial" w:cs="Arial"/>
          <w:sz w:val="24"/>
          <w:szCs w:val="24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B56014" w:rsidRDefault="00B56014" w:rsidP="00B56014">
      <w:pPr>
        <w:pStyle w:val="9"/>
        <w:shd w:val="clear" w:color="auto" w:fill="auto"/>
        <w:spacing w:after="0" w:line="240" w:lineRule="auto"/>
        <w:jc w:val="both"/>
        <w:rPr>
          <w:sz w:val="28"/>
          <w:szCs w:val="28"/>
          <w:lang w:val="en-US"/>
        </w:rPr>
      </w:pPr>
    </w:p>
    <w:p w:rsidR="00AF2661" w:rsidRDefault="00AF2661"/>
    <w:sectPr w:rsidR="00AF2661" w:rsidSect="00B56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56014"/>
    <w:rsid w:val="00285597"/>
    <w:rsid w:val="00864050"/>
    <w:rsid w:val="00AF2661"/>
    <w:rsid w:val="00B5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14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locked/>
    <w:rsid w:val="00B5601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3"/>
    <w:rsid w:val="00B56014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B56014"/>
    <w:pPr>
      <w:widowControl w:val="0"/>
    </w:pPr>
    <w:rPr>
      <w:rFonts w:ascii="Calibri" w:eastAsia="Times New Roman" w:hAnsi="Calibri" w:cs="Calibri"/>
      <w:sz w:val="22"/>
      <w:lang w:eastAsia="ru-RU"/>
    </w:rPr>
  </w:style>
  <w:style w:type="character" w:customStyle="1" w:styleId="1">
    <w:name w:val="Основной текст1"/>
    <w:basedOn w:val="a3"/>
    <w:rsid w:val="00B56014"/>
  </w:style>
  <w:style w:type="character" w:customStyle="1" w:styleId="2">
    <w:name w:val="Основной текст2"/>
    <w:basedOn w:val="a3"/>
    <w:rsid w:val="00B56014"/>
  </w:style>
  <w:style w:type="character" w:customStyle="1" w:styleId="4">
    <w:name w:val="Основной текст4"/>
    <w:basedOn w:val="a3"/>
    <w:rsid w:val="00B56014"/>
  </w:style>
  <w:style w:type="character" w:customStyle="1" w:styleId="6">
    <w:name w:val="Основной текст6"/>
    <w:basedOn w:val="a3"/>
    <w:rsid w:val="00B56014"/>
  </w:style>
  <w:style w:type="character" w:customStyle="1" w:styleId="ListLabel14">
    <w:name w:val="ListLabel 14"/>
    <w:uiPriority w:val="99"/>
    <w:rsid w:val="00B5601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A6346FB8257755C892D8539FDB87326A607BF90A66E66FCCFA9B8BE268BC91CAC1BCF2B2A5AA9FA8FA9A10E0e2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2024-03-11T06:58:00Z</dcterms:created>
  <dcterms:modified xsi:type="dcterms:W3CDTF">2024-03-11T07:19:00Z</dcterms:modified>
</cp:coreProperties>
</file>