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F2" w:rsidRDefault="00A24CF2" w:rsidP="00A24CF2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A24CF2" w:rsidRDefault="00A24CF2" w:rsidP="00A24CF2">
      <w:pPr>
        <w:pStyle w:val="af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A24CF2" w:rsidRDefault="00A24CF2" w:rsidP="00A24CF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24CF2" w:rsidRDefault="00A24CF2" w:rsidP="00A24CF2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A24CF2" w:rsidRDefault="00A24CF2" w:rsidP="00A24CF2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A24CF2" w:rsidRDefault="00A24CF2" w:rsidP="00A24CF2">
      <w:pPr>
        <w:pStyle w:val="af4"/>
        <w:rPr>
          <w:rFonts w:ascii="Times New Roman" w:hAnsi="Times New Roman" w:cs="Times New Roman"/>
          <w:b/>
          <w:sz w:val="32"/>
          <w:szCs w:val="32"/>
        </w:rPr>
      </w:pPr>
    </w:p>
    <w:p w:rsidR="00A24CF2" w:rsidRPr="00C3545D" w:rsidRDefault="00A24CF2" w:rsidP="00A24CF2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4CF2" w:rsidRPr="00B96E6A" w:rsidRDefault="00A24CF2" w:rsidP="00A24CF2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</w:p>
    <w:p w:rsidR="00BC744A" w:rsidRPr="006611A6" w:rsidRDefault="00BC744A" w:rsidP="00BC744A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6611A6">
        <w:rPr>
          <w:rFonts w:ascii="Times New Roman" w:hAnsi="Times New Roman" w:cs="Times New Roman"/>
          <w:b/>
          <w:sz w:val="24"/>
          <w:szCs w:val="24"/>
          <w:u w:val="single"/>
        </w:rPr>
        <w:t>22.02.2023</w:t>
      </w:r>
      <w:r w:rsidRPr="006611A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6611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</w:p>
    <w:p w:rsidR="00A24CF2" w:rsidRPr="006325C4" w:rsidRDefault="00A24CF2" w:rsidP="00A24CF2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</w:p>
    <w:p w:rsidR="00A24CF2" w:rsidRDefault="00A24CF2" w:rsidP="00A24CF2">
      <w:pPr>
        <w:pStyle w:val="af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CF2" w:rsidRPr="002878F4" w:rsidRDefault="00A24CF2" w:rsidP="00A24CF2">
      <w:pPr>
        <w:pStyle w:val="af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BC744A" w:rsidRDefault="00BC744A" w:rsidP="00BC744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EC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орядке формирования </w:t>
      </w:r>
      <w:r w:rsidRPr="00EE32C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</w:t>
      </w:r>
    </w:p>
    <w:p w:rsidR="00A24CF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EE32C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</w:t>
      </w:r>
    </w:p>
    <w:p w:rsidR="00A24CF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форме и сроках формирования отчета об их исполнении</w:t>
      </w:r>
    </w:p>
    <w:p w:rsidR="00A24CF2" w:rsidRPr="00EE32C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CF2" w:rsidRPr="00EE32C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CF2" w:rsidRPr="00EE32C2" w:rsidRDefault="00A24CF2" w:rsidP="00A24C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  <w:r w:rsidRPr="00EE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6 и частью 5 статьи 7 </w:t>
      </w:r>
      <w:r w:rsidRPr="00EE32C2">
        <w:rPr>
          <w:rFonts w:ascii="Times New Roman" w:hAnsi="Times New Roman" w:cs="Times New Roman"/>
          <w:sz w:val="24"/>
          <w:szCs w:val="24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EE32C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E32C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32C2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EE32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4CF2" w:rsidRPr="00EE32C2" w:rsidRDefault="00A24CF2" w:rsidP="00A24C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F2" w:rsidRDefault="00A24CF2" w:rsidP="005E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2C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24CF2" w:rsidRDefault="00A24CF2" w:rsidP="005E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2C2">
        <w:rPr>
          <w:rFonts w:ascii="Times New Roman" w:hAnsi="Times New Roman" w:cs="Times New Roman"/>
          <w:sz w:val="24"/>
          <w:szCs w:val="24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EE32C2">
        <w:rPr>
          <w:rFonts w:ascii="Times New Roman" w:hAnsi="Times New Roman" w:cs="Times New Roman"/>
          <w:sz w:val="24"/>
          <w:szCs w:val="24"/>
        </w:rPr>
        <w:t>о форме и сроках формирования отчета об их исполнении (далее – Порядок</w:t>
      </w:r>
      <w:proofErr w:type="gramStart"/>
      <w:r w:rsidRPr="00EE32C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E32C2">
        <w:rPr>
          <w:rFonts w:ascii="Times New Roman" w:hAnsi="Times New Roman" w:cs="Times New Roman"/>
          <w:sz w:val="24"/>
          <w:szCs w:val="24"/>
        </w:rPr>
        <w:t>приложение № 1);</w:t>
      </w:r>
    </w:p>
    <w:p w:rsidR="00A24CF2" w:rsidRPr="00EE32C2" w:rsidRDefault="00A24CF2" w:rsidP="005E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2C2">
        <w:rPr>
          <w:rFonts w:ascii="Times New Roman" w:hAnsi="Times New Roman" w:cs="Times New Roman"/>
          <w:sz w:val="24"/>
          <w:szCs w:val="24"/>
        </w:rPr>
        <w:t xml:space="preserve">2) Форму отчета </w:t>
      </w:r>
      <w:bookmarkStart w:id="1" w:name="_Hlk125645556"/>
      <w:r w:rsidRPr="00EE32C2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социального заказа </w:t>
      </w:r>
      <w:bookmarkEnd w:id="1"/>
      <w:r w:rsidRPr="00EE32C2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r w:rsidRPr="00EE32C2">
        <w:rPr>
          <w:rFonts w:ascii="Times New Roman" w:hAnsi="Times New Roman" w:cs="Times New Roman"/>
          <w:sz w:val="24"/>
          <w:szCs w:val="24"/>
        </w:rPr>
        <w:t>далее – Форма</w:t>
      </w:r>
      <w:proofErr w:type="gramStart"/>
      <w:r w:rsidRPr="00EE32C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E32C2"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A24CF2" w:rsidRPr="00C96299" w:rsidRDefault="00A24CF2" w:rsidP="005E0521">
      <w:pPr>
        <w:pStyle w:val="af"/>
        <w:spacing w:before="0" w:beforeAutospacing="0" w:after="0" w:afterAutospacing="0"/>
        <w:ind w:firstLine="709"/>
        <w:jc w:val="both"/>
      </w:pPr>
      <w:r w:rsidRPr="00EE32C2">
        <w:t xml:space="preserve">2. </w:t>
      </w:r>
      <w:r w:rsidRPr="00C96299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в сети «Интернет».</w:t>
      </w:r>
    </w:p>
    <w:p w:rsidR="00A24CF2" w:rsidRPr="00C96299" w:rsidRDefault="00A24CF2" w:rsidP="005E052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96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99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C96299">
        <w:rPr>
          <w:rFonts w:ascii="Times New Roman" w:hAnsi="Times New Roman" w:cs="Times New Roman"/>
          <w:sz w:val="24"/>
          <w:szCs w:val="24"/>
        </w:rPr>
        <w:t>заместителя Главы  Администрации</w:t>
      </w:r>
      <w:r w:rsidR="00965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9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96299">
        <w:rPr>
          <w:rFonts w:ascii="Times New Roman" w:hAnsi="Times New Roman" w:cs="Times New Roman"/>
          <w:sz w:val="24"/>
          <w:szCs w:val="24"/>
        </w:rPr>
        <w:t xml:space="preserve"> района Курской области Т.С.Уткину</w:t>
      </w:r>
      <w:r w:rsidR="005E0521">
        <w:rPr>
          <w:rFonts w:ascii="Times New Roman" w:hAnsi="Times New Roman" w:cs="Times New Roman"/>
          <w:sz w:val="24"/>
          <w:szCs w:val="24"/>
        </w:rPr>
        <w:t>.</w:t>
      </w:r>
      <w:r w:rsidRPr="00C9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F2" w:rsidRPr="00C96299" w:rsidRDefault="00A24CF2" w:rsidP="00A24CF2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4.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его официального опубликования.</w:t>
      </w:r>
    </w:p>
    <w:p w:rsidR="00A24CF2" w:rsidRPr="00C96299" w:rsidRDefault="00A24CF2" w:rsidP="00A24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CF2" w:rsidRPr="00C96299" w:rsidRDefault="00A24CF2" w:rsidP="00A24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F2" w:rsidRPr="00B261E6" w:rsidRDefault="00A24CF2" w:rsidP="00A24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4CF2" w:rsidRPr="00B261E6" w:rsidSect="006A38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Д. Фролков</w:t>
      </w:r>
    </w:p>
    <w:p w:rsidR="00A24CF2" w:rsidRDefault="000074AF" w:rsidP="00A24CF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24CF2" w:rsidRPr="00B261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24CF2" w:rsidRPr="00A7115C" w:rsidRDefault="00A24CF2" w:rsidP="00A24CF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11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A7115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24CF2" w:rsidRDefault="00A24CF2" w:rsidP="00A24CF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</w:r>
      <w:r w:rsidRPr="00A7115C">
        <w:rPr>
          <w:rFonts w:ascii="Times New Roman" w:hAnsi="Times New Roman" w:cs="Times New Roman"/>
          <w:sz w:val="24"/>
          <w:szCs w:val="24"/>
        </w:rPr>
        <w:tab/>
        <w:t xml:space="preserve">Курской области </w:t>
      </w:r>
    </w:p>
    <w:p w:rsidR="00A24CF2" w:rsidRPr="00A7115C" w:rsidRDefault="00A24CF2" w:rsidP="00A24CF2">
      <w:pPr>
        <w:pStyle w:val="af4"/>
        <w:ind w:left="4962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11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24CF2" w:rsidRDefault="00A24CF2" w:rsidP="00A24CF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CF2" w:rsidRPr="00480115" w:rsidRDefault="00A24CF2" w:rsidP="00A24CF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CF2" w:rsidRPr="003C51C3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1C3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A24CF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</w:t>
      </w:r>
      <w:r w:rsidRPr="003C51C3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3C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Pr="003C51C3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3C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социальной сфере, 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отнесенных к полномочиям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</w:t>
      </w:r>
    </w:p>
    <w:p w:rsidR="00A24CF2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форме и сроках формирования отчета об их исполнении</w:t>
      </w:r>
    </w:p>
    <w:p w:rsidR="00A24CF2" w:rsidRPr="003C51C3" w:rsidRDefault="00A24CF2" w:rsidP="00A24C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CF2" w:rsidRPr="003C51C3" w:rsidRDefault="00A24CF2" w:rsidP="00A24CF2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Настоящий Порядок определяет:</w:t>
      </w:r>
      <w:bookmarkStart w:id="2" w:name="P53"/>
      <w:bookmarkEnd w:id="2"/>
    </w:p>
    <w:p w:rsidR="00A24CF2" w:rsidRPr="003C51C3" w:rsidRDefault="00A24CF2" w:rsidP="00A24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</w:t>
      </w:r>
      <w:r w:rsidRPr="00EE32C2">
        <w:rPr>
          <w:rFonts w:ascii="Times New Roman" w:hAnsi="Times New Roman" w:cs="Times New Roman"/>
          <w:sz w:val="24"/>
          <w:szCs w:val="24"/>
        </w:rPr>
        <w:t xml:space="preserve">отнесенных 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EE32C2">
        <w:rPr>
          <w:rFonts w:ascii="Times New Roman" w:hAnsi="Times New Roman" w:cs="Times New Roman"/>
          <w:sz w:val="24"/>
          <w:szCs w:val="24"/>
        </w:rPr>
        <w:t xml:space="preserve">о форме и сроках формирования отчета об их исполнении </w:t>
      </w:r>
      <w:r w:rsidRPr="003C51C3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3C51C3">
        <w:rPr>
          <w:rFonts w:ascii="Times New Roman" w:hAnsi="Times New Roman" w:cs="Times New Roman"/>
          <w:sz w:val="24"/>
          <w:szCs w:val="24"/>
        </w:rPr>
        <w:t>–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3C51C3">
        <w:rPr>
          <w:rFonts w:ascii="Times New Roman" w:hAnsi="Times New Roman" w:cs="Times New Roman"/>
          <w:sz w:val="24"/>
          <w:szCs w:val="24"/>
        </w:rPr>
        <w:t>муниципальный социальный заказ, муниципальная услуга в социальной сфере);</w:t>
      </w:r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заказа;</w:t>
      </w:r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Pr="003C51C3">
        <w:rPr>
          <w:rFonts w:ascii="Times New Roman" w:hAnsi="Times New Roman" w:cs="Times New Roman"/>
          <w:sz w:val="24"/>
          <w:szCs w:val="24"/>
        </w:rPr>
        <w:br/>
        <w:t>из числа способов, установленных частью 3 статьи 7 Федерального закона</w:t>
      </w:r>
      <w:r w:rsidRPr="003C51C3">
        <w:rPr>
          <w:rFonts w:ascii="Times New Roman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>далее - Федеральный закон);</w:t>
      </w:r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заказы;</w:t>
      </w:r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оказанием муниципальных услуг в социальной сфере.</w:t>
      </w:r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EE32C2">
        <w:rPr>
          <w:rFonts w:ascii="Times New Roman" w:hAnsi="Times New Roman" w:cs="Times New Roman"/>
          <w:sz w:val="24"/>
          <w:szCs w:val="24"/>
        </w:rPr>
        <w:t xml:space="preserve">о форме и сроках формирования отчета об их исполнении </w:t>
      </w:r>
      <w:r w:rsidRPr="003C51C3">
        <w:rPr>
          <w:rFonts w:ascii="Times New Roman" w:hAnsi="Times New Roman" w:cs="Times New Roman"/>
          <w:sz w:val="24"/>
          <w:szCs w:val="24"/>
        </w:rPr>
        <w:t>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услуги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установленными муниципальным социальным заказом.</w:t>
      </w:r>
      <w:proofErr w:type="gramEnd"/>
    </w:p>
    <w:p w:rsidR="00A24CF2" w:rsidRPr="003C51C3" w:rsidRDefault="00A24CF2" w:rsidP="00A2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Pr="003C51C3">
        <w:rPr>
          <w:rFonts w:ascii="Times New Roman" w:hAnsi="Times New Roman" w:cs="Times New Roman"/>
          <w:sz w:val="24"/>
          <w:szCs w:val="24"/>
        </w:rPr>
        <w:br/>
        <w:t>в значениях, указанных в Федеральном законе.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4" w:history="1">
        <w:r w:rsidRPr="003C51C3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24CF2" w:rsidRPr="00214A6E" w:rsidRDefault="00A24CF2" w:rsidP="00A24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A6E">
        <w:rPr>
          <w:rFonts w:ascii="Times New Roman" w:hAnsi="Times New Roman" w:cs="Times New Roman"/>
          <w:sz w:val="24"/>
          <w:szCs w:val="24"/>
        </w:rPr>
        <w:t>3. Муниципальный социальный заказ формируется в форме электронного документа в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A6E">
        <w:rPr>
          <w:rFonts w:ascii="Times New Roman" w:hAnsi="Times New Roman" w:cs="Times New Roman"/>
          <w:sz w:val="24"/>
          <w:szCs w:val="24"/>
        </w:rPr>
        <w:t xml:space="preserve"> интегрированн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A6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A6E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A6E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«Электронный бюджет», в том числе посредством информационного взаимодействия с иными информационными системами органов, указанных в </w:t>
      </w:r>
      <w:hyperlink r:id="rId15" w:history="1">
        <w:r w:rsidRPr="00214A6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14A6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24CF2" w:rsidRPr="00214A6E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A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4A6E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proofErr w:type="spellStart"/>
      <w:r w:rsidRPr="00214A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14A6E">
        <w:rPr>
          <w:rFonts w:ascii="Times New Roman" w:hAnsi="Times New Roman" w:cs="Times New Roman"/>
          <w:sz w:val="24"/>
          <w:szCs w:val="24"/>
        </w:rPr>
        <w:t xml:space="preserve"> района Курской области/иные документы планирования бюджетных ассигнований, используемые в муниципальном образовании) в соответствии с порядком планирования бюджетных ассигнований бюджета </w:t>
      </w:r>
      <w:proofErr w:type="spellStart"/>
      <w:r w:rsidRPr="00214A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14A6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 w:rsidRPr="00214A6E">
        <w:rPr>
          <w:rFonts w:ascii="Times New Roman" w:hAnsi="Times New Roman" w:cs="Times New Roman"/>
          <w:sz w:val="24"/>
          <w:szCs w:val="24"/>
        </w:rPr>
        <w:t xml:space="preserve"> и методикой планирования бюджетных ассигнований бюджета </w:t>
      </w:r>
      <w:proofErr w:type="spellStart"/>
      <w:r w:rsidRPr="00214A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214A6E">
        <w:rPr>
          <w:rFonts w:ascii="Times New Roman" w:hAnsi="Times New Roman" w:cs="Times New Roman"/>
          <w:sz w:val="24"/>
          <w:szCs w:val="24"/>
        </w:rPr>
        <w:lastRenderedPageBreak/>
        <w:t xml:space="preserve">района Курской области, </w:t>
      </w:r>
      <w:proofErr w:type="gramStart"/>
      <w:r w:rsidRPr="00214A6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14A6E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proofErr w:type="spellStart"/>
      <w:r w:rsidRPr="00214A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14A6E">
        <w:rPr>
          <w:rFonts w:ascii="Times New Roman" w:hAnsi="Times New Roman" w:cs="Times New Roman"/>
          <w:sz w:val="24"/>
          <w:szCs w:val="24"/>
        </w:rPr>
        <w:t xml:space="preserve"> района Курской области в соответствии с бюджетным законодательством Российской Федерации.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сфереи</w:t>
      </w:r>
      <w:proofErr w:type="spellEnd"/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proofErr w:type="spellStart"/>
      <w:r w:rsidRPr="0094184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41843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3C51C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9418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51C3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3C51C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очередной финансовый год, приведенные в </w:t>
      </w:r>
      <w:hyperlink r:id="rId17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муниципальномсоциальном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заказе на первый год планового периода, приведенные в </w:t>
      </w:r>
      <w:hyperlink r:id="rId18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9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20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3C51C3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22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3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4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5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приложенияк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</w:t>
      </w:r>
      <w:r w:rsidRPr="003C51C3">
        <w:rPr>
          <w:rFonts w:ascii="Times New Roman" w:hAnsi="Times New Roman" w:cs="Times New Roman"/>
          <w:sz w:val="24"/>
          <w:szCs w:val="24"/>
        </w:rPr>
        <w:lastRenderedPageBreak/>
        <w:t xml:space="preserve">периоде, а также за пределами планового периода, приведенные в </w:t>
      </w:r>
      <w:hyperlink r:id="rId26" w:history="1">
        <w:r w:rsidRPr="003C51C3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7. </w:t>
      </w:r>
      <w:hyperlink r:id="rId27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3C51C3">
        <w:rPr>
          <w:rFonts w:ascii="Times New Roman" w:hAnsi="Times New Roman" w:cs="Times New Roman"/>
          <w:sz w:val="24"/>
          <w:szCs w:val="24"/>
        </w:rPr>
        <w:t>-</w:t>
      </w:r>
      <w:hyperlink r:id="rId28" w:history="1">
        <w:r w:rsidRPr="003C51C3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3C51C3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3C51C3">
        <w:rPr>
          <w:rFonts w:ascii="Times New Roman" w:hAnsi="Times New Roman" w:cs="Times New Roman"/>
          <w:sz w:val="24"/>
          <w:szCs w:val="24"/>
        </w:rPr>
        <w:t>-</w:t>
      </w:r>
      <w:hyperlink r:id="rId30" w:history="1">
        <w:r w:rsidRPr="003C51C3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3C51C3">
        <w:rPr>
          <w:rFonts w:ascii="Times New Roman" w:hAnsi="Times New Roman" w:cs="Times New Roman"/>
          <w:sz w:val="24"/>
          <w:szCs w:val="24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8. Муниципальный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9. Показатели, характеризующие объем оказания муниципальной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3C51C3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определяются органами, указанными в </w:t>
      </w:r>
      <w:hyperlink r:id="rId31" w:history="1">
        <w:r w:rsidRPr="003C51C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2) уровня удовлетворенности существующим объемом оказания муниципальных услуг в социальной сфере;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32" w:history="1">
        <w:r w:rsidRPr="003C51C3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10. Внесение изменений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муниципальный социальный заказ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осуществляетсяв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муниципальнойуслуги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в социальной сфере;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</w:rPr>
          <w:t>статье</w:t>
        </w:r>
        <w:r w:rsidR="000074AF">
          <w:rPr>
            <w:rFonts w:ascii="Times New Roman" w:hAnsi="Times New Roman" w:cs="Times New Roman"/>
            <w:sz w:val="24"/>
            <w:szCs w:val="24"/>
          </w:rPr>
          <w:t>й</w:t>
        </w:r>
        <w:r w:rsidRPr="003C51C3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34" w:history="1">
        <w:r w:rsidRPr="003C51C3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приложениек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настоящему Порядку).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5" w:history="1">
        <w:r w:rsidRPr="003C51C3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1843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1C3">
        <w:rPr>
          <w:rFonts w:ascii="Times New Roman" w:hAnsi="Times New Roman"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</w:t>
      </w:r>
      <w:r w:rsidRPr="003C51C3">
        <w:rPr>
          <w:rFonts w:ascii="Times New Roman" w:hAnsi="Times New Roman" w:cs="Times New Roman"/>
          <w:sz w:val="24"/>
          <w:szCs w:val="24"/>
        </w:rPr>
        <w:br/>
        <w:t>им порядке (с учетом критериев оценки, содержащихся в указанном порядке):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а) доступность муниципальных услуг в социальной сфере, оказываемых муниципальными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потребителей услуг;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чтои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планируемая к оказанию муниципальная услуга в социальной сфере.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6" w:history="1">
        <w:r w:rsidRPr="003C51C3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7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«низкая» либо к категории «высокая»;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8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«значительное» либо к категории «незначительное».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184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3C51C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3C51C3">
        <w:rPr>
          <w:rFonts w:ascii="Times New Roman" w:hAnsi="Times New Roman" w:cs="Times New Roman"/>
          <w:sz w:val="24"/>
          <w:szCs w:val="24"/>
        </w:rPr>
        <w:t>общественный совет).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13. В случае если значение показателя, указанного в </w:t>
      </w:r>
      <w:hyperlink r:id="rId39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«а»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«низкая», а значение показателя, указанного в </w:t>
      </w:r>
      <w:hyperlink r:id="rId40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41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«а»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«низкая», а значение показателя, указанного в </w:t>
      </w:r>
      <w:hyperlink r:id="rId42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муниципального социального заказа.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3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4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«а»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5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«а»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6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</w:t>
      </w:r>
      <w:r w:rsidR="000074AF">
        <w:rPr>
          <w:rFonts w:ascii="Times New Roman" w:hAnsi="Times New Roman" w:cs="Times New Roman"/>
          <w:sz w:val="24"/>
          <w:szCs w:val="24"/>
        </w:rPr>
        <w:t xml:space="preserve"> </w:t>
      </w:r>
      <w:r w:rsidRPr="003C51C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3C51C3">
        <w:rPr>
          <w:rFonts w:ascii="Times New Roman" w:hAnsi="Times New Roman" w:cs="Times New Roman"/>
          <w:sz w:val="24"/>
          <w:szCs w:val="24"/>
        </w:rPr>
        <w:br/>
        <w:t xml:space="preserve">об обеспечении его осуществления в целях исполнения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муниципальногосоциального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заказа;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7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«а»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8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«незначительное», и в отношении муниципальных услуг в с</w:t>
      </w:r>
      <w:r w:rsidR="000074AF">
        <w:rPr>
          <w:rFonts w:ascii="Times New Roman" w:hAnsi="Times New Roman" w:cs="Times New Roman"/>
          <w:sz w:val="24"/>
          <w:szCs w:val="24"/>
        </w:rPr>
        <w:t xml:space="preserve">оциальной сфере в соответствии </w:t>
      </w:r>
      <w:r w:rsidRPr="003C51C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3C51C3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9" w:history="1">
        <w:r w:rsidRPr="003C51C3">
          <w:rPr>
            <w:rFonts w:ascii="Times New Roman" w:hAnsi="Times New Roman" w:cs="Times New Roman"/>
            <w:sz w:val="24"/>
            <w:szCs w:val="24"/>
          </w:rPr>
          <w:t xml:space="preserve">подпункте «а» </w:t>
        </w:r>
        <w:r w:rsidR="000074A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51C3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50" w:history="1">
        <w:r w:rsidRPr="003C51C3">
          <w:rPr>
            <w:rFonts w:ascii="Times New Roman" w:hAnsi="Times New Roman" w:cs="Times New Roman"/>
            <w:sz w:val="24"/>
            <w:szCs w:val="24"/>
          </w:rPr>
          <w:t>подпункте «б» пункта 11</w:t>
        </w:r>
      </w:hyperlink>
      <w:r w:rsidRPr="003C51C3">
        <w:rPr>
          <w:rFonts w:ascii="Times New Roman" w:hAnsi="Times New Roman" w:cs="Times New Roman"/>
          <w:sz w:val="24"/>
          <w:szCs w:val="24"/>
        </w:rPr>
        <w:t xml:space="preserve">настоящего Порядка, относится к категории «незначительное», уполномоченный орган рассматривает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назаседании</w:t>
      </w:r>
      <w:proofErr w:type="spellEnd"/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</w:t>
      </w:r>
      <w:r w:rsidRPr="003C51C3">
        <w:rPr>
          <w:rFonts w:ascii="Times New Roman" w:hAnsi="Times New Roman" w:cs="Times New Roman"/>
          <w:sz w:val="24"/>
          <w:szCs w:val="24"/>
        </w:rPr>
        <w:lastRenderedPageBreak/>
        <w:t>необходимости) изменения способа определения исполнителей услуг в целях исполнения муниципального социального заказа.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</w:t>
      </w:r>
      <w:r w:rsidRPr="00DA19B2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</w:t>
      </w:r>
      <w:proofErr w:type="spellStart"/>
      <w:r w:rsidRPr="00DA19B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DA19B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9B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3C51C3">
        <w:rPr>
          <w:rFonts w:ascii="Times New Roman" w:hAnsi="Times New Roman" w:cs="Times New Roman"/>
          <w:sz w:val="24"/>
          <w:szCs w:val="24"/>
        </w:rPr>
        <w:t xml:space="preserve"> формирует отчет об исполнении муниципального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Pr="003C51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Pr="003C51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в </w:t>
      </w:r>
      <w:proofErr w:type="spellStart"/>
      <w:r w:rsidRPr="003C51C3">
        <w:rPr>
          <w:rFonts w:ascii="Times New Roman" w:hAnsi="Times New Roman" w:cs="Times New Roman"/>
          <w:iCs/>
          <w:sz w:val="24"/>
          <w:szCs w:val="24"/>
        </w:rPr>
        <w:t>отчетномфинансовом</w:t>
      </w:r>
      <w:proofErr w:type="spellEnd"/>
      <w:proofErr w:type="gramEnd"/>
      <w:r w:rsidRPr="003C51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C51C3">
        <w:rPr>
          <w:rFonts w:ascii="Times New Roman" w:hAnsi="Times New Roman" w:cs="Times New Roman"/>
          <w:iCs/>
          <w:sz w:val="24"/>
          <w:szCs w:val="24"/>
        </w:rPr>
        <w:t xml:space="preserve">году в течение 14 дней со дня предоставления исполнителями услуг отчетов об исполнении соглашений, предусмотренных </w:t>
      </w:r>
      <w:hyperlink r:id="rId51" w:history="1">
        <w:r w:rsidRPr="003C51C3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3C51C3">
        <w:rPr>
          <w:rFonts w:ascii="Times New Roman" w:hAnsi="Times New Roman" w:cs="Times New Roman"/>
          <w:sz w:val="24"/>
          <w:szCs w:val="24"/>
        </w:rPr>
        <w:t>муниципальной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</w:t>
      </w:r>
      <w:proofErr w:type="spellStart"/>
      <w:r w:rsidRPr="003C51C3">
        <w:rPr>
          <w:rFonts w:ascii="Times New Roman" w:hAnsi="Times New Roman" w:cs="Times New Roman"/>
          <w:iCs/>
          <w:sz w:val="24"/>
          <w:szCs w:val="24"/>
        </w:rPr>
        <w:t>включенныхв</w:t>
      </w:r>
      <w:proofErr w:type="spellEnd"/>
      <w:r w:rsidRPr="003C51C3">
        <w:rPr>
          <w:rFonts w:ascii="Times New Roman" w:hAnsi="Times New Roman" w:cs="Times New Roman"/>
          <w:iCs/>
          <w:sz w:val="24"/>
          <w:szCs w:val="24"/>
        </w:rPr>
        <w:t xml:space="preserve"> отчеты о выполнении </w:t>
      </w:r>
      <w:r w:rsidRPr="003C51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Pr="003C51C3">
        <w:rPr>
          <w:rFonts w:ascii="Times New Roman" w:hAnsi="Times New Roman" w:cs="Times New Roman"/>
          <w:sz w:val="24"/>
          <w:szCs w:val="24"/>
        </w:rPr>
        <w:t>муниципальных</w:t>
      </w:r>
      <w:r w:rsidRPr="003C51C3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24CF2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услугив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</w:t>
      </w:r>
      <w:r w:rsidRPr="00DA19B2">
        <w:rPr>
          <w:rFonts w:ascii="Times New Roman" w:hAnsi="Times New Roman" w:cs="Times New Roman"/>
          <w:sz w:val="24"/>
          <w:szCs w:val="24"/>
        </w:rPr>
        <w:t>органом местного самоуправления муниципального образования «</w:t>
      </w:r>
      <w:proofErr w:type="spellStart"/>
      <w:r w:rsidRPr="00DA19B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DA19B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9B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муниципальнойуслуги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в социальной сфере, а при отсутствии такого нормативного правового акта - требований к условиям и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порядку оказания муниципальной услуги в социальной сфере,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</w:t>
      </w:r>
      <w:r w:rsidRPr="003C51C3">
        <w:rPr>
          <w:rFonts w:ascii="Times New Roman" w:hAnsi="Times New Roman" w:cs="Times New Roman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Pr="003C51C3">
        <w:rPr>
          <w:rFonts w:ascii="Times New Roman" w:hAnsi="Times New Roman" w:cs="Times New Roman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Pr="003C51C3">
        <w:rPr>
          <w:rFonts w:ascii="Times New Roman" w:hAnsi="Times New Roman" w:cs="Times New Roman"/>
          <w:sz w:val="24"/>
          <w:szCs w:val="24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Pr="003C51C3">
        <w:rPr>
          <w:rFonts w:ascii="Times New Roman" w:hAnsi="Times New Roman" w:cs="Times New Roman"/>
          <w:sz w:val="24"/>
          <w:szCs w:val="24"/>
        </w:rPr>
        <w:br/>
        <w:t>и правоохранительных органов Российской Федерации;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>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3C51C3">
        <w:rPr>
          <w:rFonts w:ascii="Times New Roman" w:hAnsi="Times New Roman" w:cs="Times New Roman"/>
          <w:sz w:val="24"/>
          <w:szCs w:val="24"/>
        </w:rPr>
        <w:br/>
        <w:t>и направленного по адресу электронной почты исполнителя услуг, или иным доступным способом.</w:t>
      </w:r>
    </w:p>
    <w:p w:rsidR="00A24CF2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lastRenderedPageBreak/>
        <w:t xml:space="preserve">25. Результаты проведения проверки отражаются в акте проверки </w:t>
      </w:r>
      <w:r w:rsidRPr="003C51C3">
        <w:rPr>
          <w:rFonts w:ascii="Times New Roman" w:hAnsi="Times New Roman" w:cs="Times New Roman"/>
          <w:sz w:val="24"/>
          <w:szCs w:val="24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3C51C3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29. Материалы по результатам проверки, а также иные документы </w:t>
      </w:r>
      <w:r w:rsidRPr="003C51C3">
        <w:rPr>
          <w:rFonts w:ascii="Times New Roman" w:hAnsi="Times New Roman" w:cs="Times New Roman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</w:t>
      </w:r>
      <w:r w:rsidRPr="003C51C3">
        <w:rPr>
          <w:rFonts w:ascii="Times New Roman" w:hAnsi="Times New Roman" w:cs="Times New Roman"/>
          <w:sz w:val="24"/>
          <w:szCs w:val="24"/>
        </w:rPr>
        <w:br/>
        <w:t>в социальной сфере, установленных уполномоченным органом;</w:t>
      </w:r>
    </w:p>
    <w:p w:rsidR="00A24CF2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 xml:space="preserve">3) принимает решение о возврате средств субсидии в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бюджет</w:t>
      </w:r>
      <w:r w:rsidRPr="00B51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B5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B51C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B5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 </w:t>
      </w:r>
      <w:r w:rsidRPr="003C51C3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:rsidR="000074AF" w:rsidRPr="003C51C3" w:rsidRDefault="000074AF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C3">
        <w:rPr>
          <w:rFonts w:ascii="Times New Roman" w:hAnsi="Times New Roman" w:cs="Times New Roman"/>
          <w:sz w:val="24"/>
          <w:szCs w:val="24"/>
        </w:rPr>
        <w:lastRenderedPageBreak/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3C51C3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3C51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C51C3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услуги (или) нарушении стандарта (порядка</w:t>
      </w:r>
      <w:proofErr w:type="gramEnd"/>
      <w:r w:rsidRPr="003C51C3">
        <w:rPr>
          <w:rFonts w:ascii="Times New Roman" w:hAnsi="Times New Roman" w:cs="Times New Roman"/>
          <w:sz w:val="24"/>
          <w:szCs w:val="24"/>
        </w:rPr>
        <w:t>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3">
        <w:rPr>
          <w:rFonts w:ascii="Times New Roman" w:hAnsi="Times New Roman" w:cs="Times New Roman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CF2" w:rsidRPr="003C51C3" w:rsidRDefault="00A24CF2" w:rsidP="00A24C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CF2" w:rsidRPr="00B51C79" w:rsidRDefault="00A24CF2" w:rsidP="00A24C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A24CF2" w:rsidRPr="00B51C79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918"/>
        <w:gridCol w:w="918"/>
        <w:gridCol w:w="913"/>
        <w:gridCol w:w="913"/>
        <w:gridCol w:w="913"/>
        <w:gridCol w:w="912"/>
        <w:gridCol w:w="912"/>
        <w:gridCol w:w="1172"/>
        <w:gridCol w:w="1391"/>
        <w:gridCol w:w="1481"/>
      </w:tblGrid>
      <w:tr w:rsidR="006536B3" w:rsidRPr="00480115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0074AF" w:rsidRDefault="00DB2390" w:rsidP="007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76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2023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и </w:t>
            </w:r>
          </w:p>
          <w:p w:rsidR="006536B3" w:rsidRPr="00480115" w:rsidRDefault="006536B3" w:rsidP="007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плановый период 20</w:t>
            </w:r>
            <w:r w:rsidR="0076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- 20</w:t>
            </w:r>
            <w:r w:rsidR="0076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7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</w:t>
            </w:r>
            <w:r w:rsidR="0076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</w:t>
            </w:r>
            <w:r w:rsidR="0076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</w:t>
            </w:r>
            <w:r w:rsidR="0076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7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76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марта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6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6536B3" w:rsidRPr="00480115" w:rsidTr="009D1E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9D1E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9D1E6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24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02109267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</w:tr>
      <w:tr w:rsidR="006536B3" w:rsidRPr="00480115" w:rsidTr="009D1E6A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0074AF" w:rsidRDefault="0088259B" w:rsidP="0088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образование, по делам молодежи, по физической культуре и спорту </w:t>
            </w:r>
            <w:r w:rsidRPr="0088259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Администрации </w:t>
            </w:r>
            <w:proofErr w:type="spellStart"/>
            <w:r w:rsidRPr="0088259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Железногорского</w:t>
            </w:r>
            <w:proofErr w:type="spellEnd"/>
            <w:r w:rsidRPr="0088259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района Курской области</w:t>
            </w:r>
          </w:p>
          <w:p w:rsidR="006536B3" w:rsidRPr="00480115" w:rsidRDefault="006536B3" w:rsidP="0088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9D1E6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C3DAA" w:rsidP="006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A24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38705000</w:t>
            </w:r>
            <w:r w:rsidR="00626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D1E6A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C3DAA" w:rsidP="006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9D1E6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C3DA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образовательных программ (за исключением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в области искусства)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2095"/>
        <w:gridCol w:w="1701"/>
        <w:gridCol w:w="1983"/>
        <w:gridCol w:w="1701"/>
        <w:gridCol w:w="992"/>
        <w:gridCol w:w="709"/>
        <w:gridCol w:w="1133"/>
        <w:gridCol w:w="1314"/>
        <w:gridCol w:w="1397"/>
        <w:gridCol w:w="1096"/>
        <w:gridCol w:w="1231"/>
      </w:tblGrid>
      <w:tr w:rsidR="006536B3" w:rsidRPr="00480115" w:rsidTr="00E315DC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E315D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76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76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очередной финансовый год)</w:t>
            </w:r>
          </w:p>
          <w:p w:rsidR="005362A8" w:rsidRPr="00480115" w:rsidRDefault="005362A8" w:rsidP="0076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36B3" w:rsidRPr="00480115" w:rsidTr="00C13FF9">
        <w:trPr>
          <w:trHeight w:val="150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</w:t>
            </w:r>
            <w:r w:rsidR="00DB2390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характеризующий объем оказания 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(укрупненной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AF54FB" w:rsidRPr="00480115" w:rsidTr="000074AF">
        <w:trPr>
          <w:trHeight w:val="57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AF54FB" w:rsidRPr="00480115" w:rsidTr="000074AF">
        <w:trPr>
          <w:trHeight w:val="3075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074A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AF54FB" w:rsidRPr="00480115" w:rsidTr="000074AF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10F88" w:rsidRPr="00480115" w:rsidTr="000074AF">
        <w:trPr>
          <w:trHeight w:val="12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15921</w:t>
            </w:r>
          </w:p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18560</w:t>
            </w:r>
          </w:p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</w:t>
            </w:r>
          </w:p>
          <w:p w:rsidR="00710F88" w:rsidRPr="000074AF" w:rsidRDefault="00710F88" w:rsidP="006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  <w:p w:rsidR="000074AF" w:rsidRDefault="000074A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62A8" w:rsidRPr="000074AF" w:rsidRDefault="005362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направленность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</w:t>
            </w: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D8228B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710F88" w:rsidRPr="00480115" w:rsidTr="000074AF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88" w:rsidRPr="000074AF" w:rsidRDefault="00710F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Реализация дополнительных </w:t>
            </w: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E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00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AF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D8228B" w:rsidP="00E2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15A7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710F88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88" w:rsidRPr="000074AF" w:rsidRDefault="00E215A7" w:rsidP="007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10F88" w:rsidRPr="0000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495051" w:rsidRDefault="00495051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88259B" w:rsidRPr="00480115" w:rsidRDefault="0088259B" w:rsidP="006536B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2944"/>
        <w:gridCol w:w="851"/>
        <w:gridCol w:w="1983"/>
        <w:gridCol w:w="1842"/>
        <w:gridCol w:w="1136"/>
        <w:gridCol w:w="709"/>
        <w:gridCol w:w="1419"/>
        <w:gridCol w:w="1216"/>
        <w:gridCol w:w="1216"/>
        <w:gridCol w:w="961"/>
        <w:gridCol w:w="1075"/>
      </w:tblGrid>
      <w:tr w:rsidR="006536B3" w:rsidRPr="00480115" w:rsidTr="005362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D7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1-ый год планового периода)</w:t>
            </w:r>
          </w:p>
        </w:tc>
      </w:tr>
      <w:tr w:rsidR="006536B3" w:rsidRPr="00480115" w:rsidTr="005362A8">
        <w:trPr>
          <w:trHeight w:val="150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9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480115" w:rsidTr="005362A8">
        <w:trPr>
          <w:trHeight w:val="57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495051" w:rsidRPr="00480115" w:rsidTr="005362A8">
        <w:trPr>
          <w:trHeight w:val="3075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051" w:rsidRPr="00480115" w:rsidTr="005362A8">
        <w:trPr>
          <w:trHeight w:val="4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7D2F8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48564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7D2F8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31624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31248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31624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7056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Железногорскийрайон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12960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</w:tr>
      <w:tr w:rsidR="00495051" w:rsidRPr="00480115" w:rsidTr="005362A8">
        <w:trPr>
          <w:trHeight w:val="2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27EF2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495051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51" w:rsidRPr="005362A8" w:rsidRDefault="00E215A7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1"/>
        <w:gridCol w:w="1731"/>
        <w:gridCol w:w="1731"/>
        <w:gridCol w:w="1347"/>
        <w:gridCol w:w="1520"/>
      </w:tblGrid>
      <w:tr w:rsidR="006536B3" w:rsidRPr="00480115" w:rsidTr="005362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53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</w:t>
            </w:r>
            <w:r w:rsidR="005362A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__</w:t>
            </w:r>
            <w:r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(на 2-ой год планового периода)</w:t>
            </w:r>
          </w:p>
        </w:tc>
      </w:tr>
      <w:tr w:rsidR="006536B3" w:rsidRPr="005362A8" w:rsidTr="005362A8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5362A8" w:rsidTr="005362A8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5362A8" w:rsidTr="005362A8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5362A8" w:rsidTr="005362A8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1"/>
        <w:gridCol w:w="1731"/>
        <w:gridCol w:w="1731"/>
        <w:gridCol w:w="1347"/>
        <w:gridCol w:w="1520"/>
      </w:tblGrid>
      <w:tr w:rsidR="006536B3" w:rsidRPr="00480115" w:rsidTr="005362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5362A8" w:rsidTr="005362A8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5362A8" w:rsidTr="005362A8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5362A8" w:rsidTr="005362A8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5362A8" w:rsidTr="005362A8">
        <w:trPr>
          <w:trHeight w:val="408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5362A8" w:rsidTr="005362A8">
        <w:trPr>
          <w:trHeight w:val="28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5243" w:rsidRDefault="00BA5243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Default="005362A8" w:rsidP="006536B3">
      <w:pPr>
        <w:rPr>
          <w:rFonts w:ascii="Times New Roman" w:hAnsi="Times New Roman" w:cs="Times New Roman"/>
        </w:rPr>
      </w:pPr>
    </w:p>
    <w:p w:rsidR="005362A8" w:rsidRPr="00480115" w:rsidRDefault="005362A8" w:rsidP="006536B3">
      <w:pPr>
        <w:rPr>
          <w:rFonts w:ascii="Times New Roman" w:hAnsi="Times New Roman" w:cs="Times New Roman"/>
        </w:rPr>
      </w:pPr>
    </w:p>
    <w:tbl>
      <w:tblPr>
        <w:tblW w:w="5263" w:type="pct"/>
        <w:tblInd w:w="-318" w:type="dxa"/>
        <w:tblLayout w:type="fixed"/>
        <w:tblLook w:val="04A0"/>
      </w:tblPr>
      <w:tblGrid>
        <w:gridCol w:w="1276"/>
        <w:gridCol w:w="813"/>
        <w:gridCol w:w="1015"/>
        <w:gridCol w:w="1186"/>
        <w:gridCol w:w="1054"/>
        <w:gridCol w:w="1012"/>
        <w:gridCol w:w="1012"/>
        <w:gridCol w:w="1012"/>
        <w:gridCol w:w="1432"/>
        <w:gridCol w:w="886"/>
        <w:gridCol w:w="705"/>
        <w:gridCol w:w="863"/>
        <w:gridCol w:w="1047"/>
        <w:gridCol w:w="837"/>
        <w:gridCol w:w="950"/>
        <w:gridCol w:w="1060"/>
      </w:tblGrid>
      <w:tr w:rsidR="006536B3" w:rsidRPr="00480115" w:rsidTr="005362A8">
        <w:trPr>
          <w:trHeight w:val="615"/>
        </w:trPr>
        <w:tc>
          <w:tcPr>
            <w:tcW w:w="4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362A8">
        <w:trPr>
          <w:trHeight w:val="390"/>
        </w:trPr>
        <w:tc>
          <w:tcPr>
            <w:tcW w:w="4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общеразвивающих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программ"</w:t>
            </w:r>
          </w:p>
          <w:p w:rsidR="005362A8" w:rsidRPr="00480115" w:rsidRDefault="005362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362A8">
        <w:trPr>
          <w:trHeight w:val="765"/>
        </w:trPr>
        <w:tc>
          <w:tcPr>
            <w:tcW w:w="467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19" w:rsidRDefault="006536B3" w:rsidP="00D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</w:t>
            </w:r>
            <w:r w:rsidR="00D7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D5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 (на очередной финансовый год)</w:t>
            </w:r>
          </w:p>
          <w:p w:rsidR="00C71819" w:rsidRPr="00480115" w:rsidRDefault="00C71819" w:rsidP="00D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62A8" w:rsidRPr="005362A8" w:rsidTr="005362A8">
        <w:trPr>
          <w:trHeight w:val="228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Уникальный номер реестровой записи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Условия (формы)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Категории потребителей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муниципального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социального заказа)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Срок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 по способам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услугу), %</w:t>
            </w:r>
          </w:p>
        </w:tc>
      </w:tr>
      <w:tr w:rsidR="005362A8" w:rsidRPr="005362A8" w:rsidTr="005362A8">
        <w:trPr>
          <w:trHeight w:val="55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муниципального задания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соответствии с конкурсом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362A8" w:rsidRPr="005362A8" w:rsidTr="005362A8">
        <w:trPr>
          <w:trHeight w:val="255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по ОКЕИ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5362A8" w:rsidRPr="005362A8" w:rsidTr="005362A8">
        <w:trPr>
          <w:trHeight w:val="29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BB0380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804200099.0.ББ52А344000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BA5243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49751C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</w:t>
            </w: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A8" w:rsidRPr="005362A8" w:rsidRDefault="005362A8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Художестве</w:t>
            </w:r>
            <w:r w:rsidR="0049751C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</w:p>
          <w:p w:rsidR="005362A8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ная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направлен</w:t>
            </w: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ность</w:t>
            </w:r>
            <w:proofErr w:type="spellEnd"/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/час</w:t>
            </w:r>
            <w:proofErr w:type="gramEnd"/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539</w:t>
            </w: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15921</w:t>
            </w: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FF756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18560</w:t>
            </w:r>
          </w:p>
          <w:p w:rsidR="0049751C" w:rsidRPr="005362A8" w:rsidRDefault="0049751C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1C" w:rsidRPr="005362A8" w:rsidRDefault="00FF7563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7720</w:t>
            </w: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9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51C" w:rsidRPr="005362A8" w:rsidRDefault="00FF756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  <w:p w:rsidR="0049751C" w:rsidRPr="005362A8" w:rsidRDefault="0049751C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751C" w:rsidRPr="005362A8" w:rsidRDefault="0049751C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763684" w:rsidP="00B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8010120.99.0.БА81АА00001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45C5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45C5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</w:t>
            </w:r>
            <w:proofErr w:type="spellEnd"/>
          </w:p>
          <w:p w:rsidR="006536B3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BA524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645C52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="00645C52"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A8" w:rsidRPr="005362A8" w:rsidRDefault="005362A8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Художествен</w:t>
            </w:r>
          </w:p>
          <w:p w:rsidR="005362A8" w:rsidRPr="005362A8" w:rsidRDefault="005362A8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ная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направлен</w:t>
            </w:r>
          </w:p>
          <w:p w:rsidR="005362A8" w:rsidRPr="005362A8" w:rsidRDefault="005362A8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ность</w:t>
            </w:r>
            <w:proofErr w:type="spellEnd"/>
          </w:p>
          <w:p w:rsidR="006536B3" w:rsidRPr="005362A8" w:rsidRDefault="006536B3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2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/час</w:t>
            </w:r>
            <w:proofErr w:type="gramEnd"/>
          </w:p>
          <w:p w:rsidR="006536B3" w:rsidRPr="005362A8" w:rsidRDefault="006536B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="00645C52"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B3" w:rsidRPr="005362A8" w:rsidRDefault="00645C52" w:rsidP="0064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5C0D39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763684" w:rsidP="0076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8042000.99.0.ББ52АЖ72000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5C0D3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5C0D3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5C0D39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BA5243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5C0D39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487F30" w:rsidP="004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E0697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A8" w:rsidRPr="005362A8" w:rsidRDefault="005362A8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Техническая направлен</w:t>
            </w:r>
          </w:p>
          <w:p w:rsidR="006536B3" w:rsidRPr="005362A8" w:rsidRDefault="005C0D39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ность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/час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890529" w:rsidP="0089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890529" w:rsidP="0089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890529" w:rsidP="0089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B3" w:rsidRPr="005362A8" w:rsidRDefault="003F6EF3" w:rsidP="003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BA4CBE" w:rsidP="0076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8042000.99.0.ББ52АЖ96000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B94309" w:rsidP="00B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</w:t>
            </w:r>
            <w:proofErr w:type="spellEnd"/>
          </w:p>
          <w:p w:rsidR="00487F30" w:rsidRP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BA5243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487F3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487F30" w:rsidP="004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A8" w:rsidRPr="005362A8" w:rsidRDefault="005362A8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="00B94309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стественно</w:t>
            </w:r>
          </w:p>
          <w:p w:rsidR="005362A8" w:rsidRPr="005362A8" w:rsidRDefault="00B94309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научная направлен</w:t>
            </w:r>
          </w:p>
          <w:p w:rsidR="00487F30" w:rsidRPr="005362A8" w:rsidRDefault="00B94309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ность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/час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B94309" w:rsidP="00B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B94309" w:rsidP="00B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487F3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B94309" w:rsidP="00B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F30" w:rsidRPr="005362A8" w:rsidRDefault="003F6EF3" w:rsidP="003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0" w:rsidRPr="005362A8" w:rsidRDefault="00BA4CBE" w:rsidP="00B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8042000.99.0.ББ52А368000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0" w:rsidRPr="005362A8" w:rsidRDefault="00103E2B" w:rsidP="0010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</w:t>
            </w:r>
            <w:proofErr w:type="spellEnd"/>
          </w:p>
          <w:p w:rsidR="00487F30" w:rsidRP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0" w:rsidRP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</w:t>
            </w:r>
            <w:r w:rsidR="00BA5243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.2023 -31.12.20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487F30" w:rsidP="004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E0697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A8" w:rsidRPr="005362A8" w:rsidRDefault="005362A8" w:rsidP="0010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</w:t>
            </w:r>
            <w:r w:rsidR="00103E2B"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уристско-краеведческая направлен</w:t>
            </w:r>
          </w:p>
          <w:p w:rsidR="00487F30" w:rsidRPr="005362A8" w:rsidRDefault="00103E2B" w:rsidP="0010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/час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103E2B" w:rsidP="0010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103E2B" w:rsidP="0010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487F3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0" w:rsidRPr="005362A8" w:rsidRDefault="00103E2B" w:rsidP="0010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0" w:rsidRPr="005362A8" w:rsidRDefault="003F6EF3" w:rsidP="003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03155B" w:rsidP="0003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8042000.99.0.ББ52А392000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9A781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</w:t>
            </w:r>
            <w:proofErr w:type="spellEnd"/>
          </w:p>
          <w:p w:rsidR="00487F30" w:rsidRP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BA5243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487F3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4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E0697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A8" w:rsidRPr="005362A8" w:rsidRDefault="005362A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="009A7818"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оциально-гуманитарная направлен</w:t>
            </w:r>
          </w:p>
          <w:p w:rsidR="00487F30" w:rsidRPr="005362A8" w:rsidRDefault="009A781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/час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9A781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9A781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487F3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9A7818" w:rsidP="009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F30" w:rsidRPr="005362A8" w:rsidRDefault="003F6EF3" w:rsidP="003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636667" w:rsidP="006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8042000.99.0.ББ52А320000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6C1545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</w:t>
            </w:r>
            <w:proofErr w:type="spellEnd"/>
          </w:p>
          <w:p w:rsidR="00487F30" w:rsidRPr="005362A8" w:rsidRDefault="00487F30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BA5243" w:rsidP="005C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01.03.2023 -31.12.20</w:t>
            </w:r>
            <w:r w:rsidR="00487F30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487F30" w:rsidP="004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0" w:rsidRPr="005362A8" w:rsidRDefault="00E0697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A8" w:rsidRPr="005362A8" w:rsidRDefault="005362A8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</w:t>
            </w:r>
            <w:r w:rsidR="006C1545"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изкультур</w:t>
            </w:r>
          </w:p>
          <w:p w:rsidR="005362A8" w:rsidRPr="005362A8" w:rsidRDefault="006C1545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но-спортивная</w:t>
            </w:r>
            <w:proofErr w:type="spellEnd"/>
            <w:proofErr w:type="gram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направлен</w:t>
            </w:r>
          </w:p>
          <w:p w:rsidR="00487F30" w:rsidRPr="005362A8" w:rsidRDefault="006C1545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/час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06978" w:rsidP="00E0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6C1545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6C1545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487F3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0" w:rsidRPr="005362A8" w:rsidRDefault="00E27EF2" w:rsidP="006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="006C1545"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F30" w:rsidRPr="005362A8" w:rsidRDefault="003F6EF3" w:rsidP="003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5%</w:t>
            </w:r>
          </w:p>
        </w:tc>
      </w:tr>
      <w:tr w:rsidR="005362A8" w:rsidRPr="005362A8" w:rsidTr="005362A8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F31ED" w:rsidP="004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35757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D41374" w:rsidP="00D4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83810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0" w:rsidRPr="005362A8" w:rsidRDefault="00D41374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</w:t>
            </w:r>
            <w:r w:rsidR="00E27EF2" w:rsidRPr="005362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  <w:r w:rsidRPr="005362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F30" w:rsidRPr="005362A8" w:rsidRDefault="00487F3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6536B3" w:rsidRPr="005362A8" w:rsidRDefault="006536B3" w:rsidP="006536B3">
      <w:pPr>
        <w:rPr>
          <w:rFonts w:ascii="Times New Roman" w:hAnsi="Times New Roman" w:cs="Times New Roman"/>
          <w:sz w:val="19"/>
          <w:szCs w:val="19"/>
        </w:rPr>
      </w:pPr>
    </w:p>
    <w:p w:rsidR="00D543D4" w:rsidRPr="005362A8" w:rsidRDefault="00D543D4" w:rsidP="006536B3">
      <w:pPr>
        <w:rPr>
          <w:rFonts w:ascii="Times New Roman" w:hAnsi="Times New Roman" w:cs="Times New Roman"/>
          <w:sz w:val="19"/>
          <w:szCs w:val="19"/>
        </w:rPr>
      </w:pPr>
    </w:p>
    <w:p w:rsidR="00D543D4" w:rsidRDefault="00D543D4" w:rsidP="006536B3">
      <w:pPr>
        <w:rPr>
          <w:rFonts w:ascii="Times New Roman" w:hAnsi="Times New Roman" w:cs="Times New Roman"/>
          <w:sz w:val="19"/>
          <w:szCs w:val="19"/>
        </w:rPr>
      </w:pPr>
    </w:p>
    <w:p w:rsidR="005362A8" w:rsidRPr="00480115" w:rsidRDefault="005362A8" w:rsidP="006536B3">
      <w:pPr>
        <w:rPr>
          <w:rFonts w:ascii="Times New Roman" w:hAnsi="Times New Roman" w:cs="Times New Roman"/>
        </w:rPr>
      </w:pPr>
    </w:p>
    <w:tbl>
      <w:tblPr>
        <w:tblW w:w="5245" w:type="pct"/>
        <w:tblInd w:w="-318" w:type="dxa"/>
        <w:tblLayout w:type="fixed"/>
        <w:tblLook w:val="04A0"/>
      </w:tblPr>
      <w:tblGrid>
        <w:gridCol w:w="1279"/>
        <w:gridCol w:w="1446"/>
        <w:gridCol w:w="957"/>
        <w:gridCol w:w="1205"/>
        <w:gridCol w:w="995"/>
        <w:gridCol w:w="953"/>
        <w:gridCol w:w="953"/>
        <w:gridCol w:w="995"/>
        <w:gridCol w:w="1140"/>
        <w:gridCol w:w="854"/>
        <w:gridCol w:w="663"/>
        <w:gridCol w:w="989"/>
        <w:gridCol w:w="989"/>
        <w:gridCol w:w="792"/>
        <w:gridCol w:w="889"/>
        <w:gridCol w:w="1005"/>
      </w:tblGrid>
      <w:tr w:rsidR="006536B3" w:rsidRPr="00480115" w:rsidTr="004611A8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D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</w:t>
            </w:r>
            <w:r w:rsidR="00D7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1-ый год планового периода)</w:t>
            </w:r>
          </w:p>
          <w:p w:rsidR="006701A0" w:rsidRPr="00480115" w:rsidRDefault="006701A0" w:rsidP="00D7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11A8" w:rsidRPr="005362A8" w:rsidTr="004611A8">
        <w:trPr>
          <w:trHeight w:val="228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611A8" w:rsidRPr="005362A8" w:rsidTr="004611A8">
        <w:trPr>
          <w:trHeight w:val="55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1A8" w:rsidRPr="005362A8" w:rsidTr="004611A8">
        <w:trPr>
          <w:trHeight w:val="255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611A8" w:rsidRPr="005362A8" w:rsidTr="004611A8">
        <w:trPr>
          <w:trHeight w:val="6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804200099.0.ББ52А344000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5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3F53CF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</w:t>
            </w:r>
            <w:r w:rsidR="00D22497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137A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6701A0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43" w:rsidRPr="005362A8" w:rsidRDefault="00376543" w:rsidP="0037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6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804200099.0.ББ52А344000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за исключением детей ограниченными возможностями здоровья (ОВЗ) и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детей-инвали</w:t>
            </w:r>
            <w:proofErr w:type="spellEnd"/>
          </w:p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855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855E7F" w:rsidRPr="005362A8" w:rsidRDefault="00855E7F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5E7F" w:rsidRPr="005362A8" w:rsidRDefault="00855E7F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6701A0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376543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7F" w:rsidRPr="005362A8" w:rsidRDefault="00855E7F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8010120.99.0.БА81АА00001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DD3DDB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8010120.99.0.БА81АА00001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  <w:p w:rsidR="006701A0" w:rsidRPr="005362A8" w:rsidRDefault="006701A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701A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DD3DDB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A0" w:rsidRPr="005362A8" w:rsidRDefault="00651EB2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</w:t>
            </w:r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8042000.99.0.ББ52АЖ72000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9C0DFB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ехническая </w:t>
            </w:r>
            <w:proofErr w:type="spellStart"/>
            <w:r w:rsidR="009C0DFB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ленность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651EB2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</w:t>
            </w:r>
          </w:p>
          <w:p w:rsidR="004611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8042000.99.0.ББ52АЖ72000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4611A8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ехническая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</w:p>
          <w:p w:rsidR="00651EB2" w:rsidRPr="005362A8" w:rsidRDefault="004611A8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ленность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376543" w:rsidP="001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2" w:rsidRPr="005362A8" w:rsidRDefault="00651EB2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69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</w:t>
            </w:r>
          </w:p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8042000.99.0.ББ52АЖ96000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C0DFB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стественнонаучная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4C190B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69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</w:t>
            </w:r>
          </w:p>
          <w:p w:rsidR="004611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8042000.99.0.ББ52АЖ96000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стественнонаучная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4C190B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A" w:rsidRPr="005362A8" w:rsidRDefault="0037611A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8042000.99.0.ББ52А368000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за исключением детей ограниченными возможностями здоровья (ОВЗ) и </w:t>
            </w: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C0DFB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уристско-краеведческая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0C7670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</w:t>
            </w:r>
          </w:p>
          <w:p w:rsidR="004611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8042000.99.0.ББ52А368000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C7670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уристско-краеведческая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70" w:rsidRPr="005362A8" w:rsidRDefault="000C7670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</w:t>
            </w:r>
          </w:p>
          <w:p w:rsidR="004611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8042000.99.0.ББ52А392000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C0DFB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но-гуманитарная</w:t>
            </w:r>
            <w:proofErr w:type="spellEnd"/>
            <w:proofErr w:type="gram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FD7C72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FD7C72" w:rsidP="00FD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</w:t>
            </w:r>
          </w:p>
          <w:p w:rsidR="004611A8" w:rsidRDefault="00FD7C72" w:rsidP="00FD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FD7C72" w:rsidRPr="005362A8" w:rsidRDefault="00FD7C72" w:rsidP="00FD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8042000.99.0.ББ52А392000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D7C72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</w:t>
            </w:r>
            <w:proofErr w:type="spellEnd"/>
          </w:p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но-гуманитарная</w:t>
            </w:r>
            <w:proofErr w:type="spellEnd"/>
            <w:proofErr w:type="gram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376543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376543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8042000.99.0.ББ52А320000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</w:t>
            </w: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D22497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01.01.2024 -31.08.2024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2497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8" w:rsidRDefault="004611A8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C0DFB"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изкультурно-спортив</w:t>
            </w:r>
            <w:proofErr w:type="spellEnd"/>
          </w:p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8D137A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FD7C72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D371FC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FB" w:rsidRPr="005362A8" w:rsidRDefault="00D371FC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FB" w:rsidRPr="005362A8" w:rsidRDefault="00C42983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</w:t>
            </w:r>
          </w:p>
          <w:p w:rsidR="004611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proofErr w:type="spellEnd"/>
          </w:p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8042000.99.0.ББ52А320000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01.09.2024 – 31.12.2024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D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8" w:rsidRDefault="004611A8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изкультурно-спортив</w:t>
            </w:r>
            <w:proofErr w:type="spellEnd"/>
          </w:p>
          <w:p w:rsidR="00FD7C72" w:rsidRPr="005362A8" w:rsidRDefault="004611A8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8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D371FC" w:rsidP="00EA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D371FC" w:rsidP="0027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72" w:rsidRPr="005362A8" w:rsidRDefault="00FD7C72" w:rsidP="00C4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4611A8" w:rsidRPr="005362A8" w:rsidTr="004611A8"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FB" w:rsidRPr="005362A8" w:rsidRDefault="0086171B" w:rsidP="00E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44388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FB" w:rsidRPr="005362A8" w:rsidRDefault="008072B5" w:rsidP="00E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FB" w:rsidRPr="005362A8" w:rsidRDefault="0072328D" w:rsidP="00E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FB" w:rsidRPr="005362A8" w:rsidRDefault="009C0DF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536B3" w:rsidRPr="005362A8" w:rsidRDefault="006536B3" w:rsidP="006536B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6536B3" w:rsidRPr="005362A8" w:rsidTr="004611A8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Сведения об объеме оказания </w:t>
            </w:r>
            <w:r w:rsidR="00960593"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5362A8" w:rsidTr="004611A8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Категории потребителей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Срок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5362A8" w:rsidTr="004611A8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</w:t>
            </w: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5362A8" w:rsidTr="004611A8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5362A8" w:rsidTr="004611A8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2BC" w:rsidRPr="005362A8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5362A8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62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59B" w:rsidRPr="00480115" w:rsidRDefault="0088259B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6536B3" w:rsidRPr="00480115" w:rsidTr="004611A8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611A8" w:rsidTr="004611A8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4611A8" w:rsidTr="004611A8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4611A8" w:rsidTr="004611A8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4611A8" w:rsidTr="004611A8">
        <w:trPr>
          <w:trHeight w:val="40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611A8" w:rsidTr="004611A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243" w:rsidRDefault="00BA5243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Default="009D1E6A" w:rsidP="006536B3">
      <w:pPr>
        <w:rPr>
          <w:rFonts w:ascii="Times New Roman" w:hAnsi="Times New Roman" w:cs="Times New Roman"/>
        </w:rPr>
      </w:pPr>
    </w:p>
    <w:p w:rsidR="009D1E6A" w:rsidRPr="00480115" w:rsidRDefault="009D1E6A" w:rsidP="006536B3">
      <w:pPr>
        <w:rPr>
          <w:rFonts w:ascii="Times New Roman" w:hAnsi="Times New Roman" w:cs="Times New Roman"/>
        </w:rPr>
      </w:pPr>
    </w:p>
    <w:tbl>
      <w:tblPr>
        <w:tblW w:w="5158" w:type="pct"/>
        <w:tblInd w:w="-176" w:type="dxa"/>
        <w:tblLayout w:type="fixed"/>
        <w:tblLook w:val="04A0"/>
      </w:tblPr>
      <w:tblGrid>
        <w:gridCol w:w="1882"/>
        <w:gridCol w:w="2052"/>
        <w:gridCol w:w="2315"/>
        <w:gridCol w:w="1698"/>
        <w:gridCol w:w="1942"/>
        <w:gridCol w:w="1457"/>
        <w:gridCol w:w="773"/>
        <w:gridCol w:w="1862"/>
        <w:gridCol w:w="1856"/>
      </w:tblGrid>
      <w:tr w:rsidR="006536B3" w:rsidRPr="00480115" w:rsidTr="004611A8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506FCD" w:rsidRPr="004611A8" w:rsidTr="004611A8">
        <w:trPr>
          <w:trHeight w:val="174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</w:tr>
      <w:tr w:rsidR="00506FCD" w:rsidRPr="004611A8" w:rsidTr="004611A8">
        <w:trPr>
          <w:trHeight w:val="45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FCD" w:rsidRPr="004611A8" w:rsidTr="004611A8">
        <w:trPr>
          <w:trHeight w:val="243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FCD" w:rsidRPr="004611A8" w:rsidTr="004611A8">
        <w:trPr>
          <w:trHeight w:val="288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06FCD" w:rsidRPr="004611A8" w:rsidTr="004611A8">
        <w:trPr>
          <w:trHeight w:val="96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8042000.99.0.ББ52А344000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5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506FCD" w:rsidRPr="004611A8" w:rsidRDefault="00506FCD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5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506FCD" w:rsidP="005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D822E3" w:rsidP="00D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CD" w:rsidRPr="004611A8" w:rsidRDefault="00D822E3" w:rsidP="00D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506FCD" w:rsidRPr="004611A8" w:rsidRDefault="00506FCD" w:rsidP="00D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FCD" w:rsidRPr="004611A8" w:rsidTr="004611A8">
        <w:trPr>
          <w:trHeight w:val="93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5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506FCD" w:rsidP="005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D822E3" w:rsidP="00D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CD" w:rsidRPr="004611A8" w:rsidRDefault="00D822E3" w:rsidP="00D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8010120.99.0.БА81АА00001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8042000.99.0.ББ52АЖ72000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8042000.99.0.ББ52АЖ96000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0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8042000.99.0.ББ52АЗ68000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4611A8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4611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8042000.99.0.ББ52АЗ92000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8042000.99.0.ББ52АЗ20000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bookmarkStart w:id="4" w:name="_GoBack"/>
            <w:bookmarkEnd w:id="4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за исключением детей ограниченными возможностями здоровья (ОВЗ) и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осваивающих дополнительные </w:t>
            </w:r>
            <w:proofErr w:type="spellStart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EA" w:rsidRPr="004611A8" w:rsidTr="004611A8">
        <w:trPr>
          <w:trHeight w:val="93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EA" w:rsidRPr="004611A8" w:rsidRDefault="004722EA" w:rsidP="0047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06FCD" w:rsidRPr="004611A8" w:rsidTr="004611A8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46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FCD" w:rsidRPr="004611A8" w:rsidTr="004611A8">
        <w:trPr>
          <w:trHeight w:val="288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611A8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  <w:p w:rsidR="004611A8" w:rsidRDefault="004611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1A8" w:rsidRDefault="004611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1A8" w:rsidRDefault="004611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1A8" w:rsidRDefault="004611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1A8" w:rsidRPr="00480115" w:rsidRDefault="004611A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5362A8">
          <w:footerReference w:type="first" r:id="rId52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6536B3" w:rsidRPr="009D1E6A" w:rsidRDefault="006536B3" w:rsidP="009D1E6A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E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 w:rsidR="00480115" w:rsidRPr="009D1E6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907617" w:rsidRPr="009D1E6A" w:rsidRDefault="009D1E6A" w:rsidP="009D1E6A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9D1E6A">
        <w:rPr>
          <w:rFonts w:ascii="Times New Roman" w:eastAsia="Times New Roman" w:hAnsi="Times New Roman" w:cs="Times New Roman"/>
          <w:color w:val="000000"/>
          <w:sz w:val="26"/>
          <w:szCs w:val="26"/>
        </w:rPr>
        <w:t>к п</w:t>
      </w:r>
      <w:r w:rsidR="00907617" w:rsidRPr="009D1E6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остановлению</w:t>
      </w:r>
      <w:r w:rsidRPr="009D1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07617" w:rsidRPr="009D1E6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07617" w:rsidRPr="009D1E6A" w:rsidRDefault="00907617" w:rsidP="009D1E6A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proofErr w:type="spellStart"/>
      <w:r w:rsidRPr="009D1E6A"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 w:rsidRPr="009D1E6A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907617" w:rsidRPr="009D1E6A" w:rsidRDefault="00907617" w:rsidP="009D1E6A">
      <w:pPr>
        <w:widowControl w:val="0"/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D1E6A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6536B3" w:rsidRPr="009D1E6A" w:rsidRDefault="006536B3" w:rsidP="009D1E6A">
      <w:pPr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 2023 г. № ______</w:t>
      </w:r>
    </w:p>
    <w:p w:rsidR="006536B3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:rsidR="009D1E6A" w:rsidRPr="00480115" w:rsidRDefault="009D1E6A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4916" w:rsidRDefault="00B94916" w:rsidP="00480115">
      <w:pPr>
        <w:rPr>
          <w:rFonts w:ascii="Times New Roman" w:hAnsi="Times New Roman" w:cs="Times New Roman"/>
        </w:rPr>
      </w:pPr>
    </w:p>
    <w:p w:rsidR="009D1E6A" w:rsidRDefault="009D1E6A" w:rsidP="00480115">
      <w:pPr>
        <w:rPr>
          <w:rFonts w:ascii="Times New Roman" w:hAnsi="Times New Roman" w:cs="Times New Roman"/>
        </w:rPr>
      </w:pPr>
    </w:p>
    <w:p w:rsidR="009D1E6A" w:rsidRDefault="009D1E6A" w:rsidP="00480115">
      <w:pPr>
        <w:rPr>
          <w:rFonts w:ascii="Times New Roman" w:hAnsi="Times New Roman" w:cs="Times New Roman"/>
        </w:rPr>
      </w:pPr>
    </w:p>
    <w:p w:rsidR="009D1E6A" w:rsidRDefault="009D1E6A" w:rsidP="00480115">
      <w:pPr>
        <w:rPr>
          <w:rFonts w:ascii="Times New Roman" w:hAnsi="Times New Roman" w:cs="Times New Roman"/>
        </w:rPr>
      </w:pPr>
    </w:p>
    <w:p w:rsidR="009D1E6A" w:rsidRPr="00480115" w:rsidRDefault="009D1E6A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9D1E6A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:rsidTr="009D1E6A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D1E6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464"/>
        <w:tblW w:w="5000" w:type="pct"/>
        <w:tblLook w:val="04A0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9D1E6A" w:rsidRPr="00480115" w:rsidTr="009D1E6A">
        <w:trPr>
          <w:gridAfter w:val="1"/>
          <w:wAfter w:w="72" w:type="pct"/>
          <w:trHeight w:val="68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gridAfter w:val="1"/>
          <w:wAfter w:w="72" w:type="pct"/>
          <w:trHeight w:val="26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9D1E6A" w:rsidRPr="00480115" w:rsidTr="009D1E6A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89"/>
        <w:tblW w:w="5000" w:type="pct"/>
        <w:tblLook w:val="04A0"/>
      </w:tblPr>
      <w:tblGrid>
        <w:gridCol w:w="1184"/>
        <w:gridCol w:w="2030"/>
        <w:gridCol w:w="1183"/>
        <w:gridCol w:w="1080"/>
        <w:gridCol w:w="1080"/>
        <w:gridCol w:w="605"/>
        <w:gridCol w:w="1365"/>
        <w:gridCol w:w="1365"/>
        <w:gridCol w:w="1365"/>
        <w:gridCol w:w="1365"/>
        <w:gridCol w:w="1365"/>
        <w:gridCol w:w="1365"/>
      </w:tblGrid>
      <w:tr w:rsidR="009D1E6A" w:rsidRPr="00480115" w:rsidTr="009D1E6A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624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9D1E6A" w:rsidRPr="00480115" w:rsidTr="009D1E6A">
        <w:trPr>
          <w:trHeight w:val="1116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1704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76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699"/>
        <w:tblW w:w="5000" w:type="pct"/>
        <w:tblLook w:val="04A0"/>
      </w:tblPr>
      <w:tblGrid>
        <w:gridCol w:w="1016"/>
        <w:gridCol w:w="1962"/>
        <w:gridCol w:w="1120"/>
        <w:gridCol w:w="1228"/>
        <w:gridCol w:w="1023"/>
        <w:gridCol w:w="1228"/>
        <w:gridCol w:w="1228"/>
        <w:gridCol w:w="1228"/>
        <w:gridCol w:w="1228"/>
        <w:gridCol w:w="1228"/>
        <w:gridCol w:w="1120"/>
        <w:gridCol w:w="1120"/>
        <w:gridCol w:w="623"/>
      </w:tblGrid>
      <w:tr w:rsidR="009D1E6A" w:rsidRPr="00480115" w:rsidTr="009D1E6A">
        <w:trPr>
          <w:trHeight w:val="105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52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1188"/>
        </w:trPr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9D1E6A" w:rsidRPr="00480115" w:rsidTr="009D1E6A">
        <w:trPr>
          <w:trHeight w:val="13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D1E6A" w:rsidRPr="00480115" w:rsidTr="009D1E6A">
        <w:trPr>
          <w:trHeight w:val="1392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76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7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D1E6A" w:rsidRPr="00480115" w:rsidTr="009D1E6A">
        <w:trPr>
          <w:trHeight w:val="27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4"/>
        <w:gridCol w:w="1233"/>
        <w:gridCol w:w="483"/>
        <w:gridCol w:w="948"/>
        <w:gridCol w:w="475"/>
        <w:gridCol w:w="647"/>
        <w:gridCol w:w="689"/>
        <w:gridCol w:w="266"/>
        <w:gridCol w:w="1035"/>
        <w:gridCol w:w="104"/>
        <w:gridCol w:w="732"/>
        <w:gridCol w:w="458"/>
        <w:gridCol w:w="1036"/>
        <w:gridCol w:w="235"/>
        <w:gridCol w:w="886"/>
        <w:gridCol w:w="736"/>
        <w:gridCol w:w="385"/>
        <w:gridCol w:w="899"/>
        <w:gridCol w:w="135"/>
        <w:gridCol w:w="1053"/>
        <w:gridCol w:w="335"/>
        <w:gridCol w:w="528"/>
        <w:gridCol w:w="1190"/>
      </w:tblGrid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26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D1E6A">
        <w:trPr>
          <w:trHeight w:val="26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6A" w:rsidRDefault="009D1E6A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E6A" w:rsidRDefault="009D1E6A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689"/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9D1E6A" w:rsidRPr="00480115" w:rsidTr="009D1E6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9D1E6A" w:rsidRPr="00480115" w:rsidTr="009D1E6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E6A" w:rsidRPr="00480115" w:rsidTr="009D1E6A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6A" w:rsidRPr="00480115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D4" w:rsidRDefault="00F80BD4" w:rsidP="00D07079">
      <w:pPr>
        <w:spacing w:after="0" w:line="240" w:lineRule="auto"/>
      </w:pPr>
      <w:r>
        <w:separator/>
      </w:r>
    </w:p>
  </w:endnote>
  <w:endnote w:type="continuationSeparator" w:id="0">
    <w:p w:rsidR="00F80BD4" w:rsidRDefault="00F80BD4" w:rsidP="00D07079">
      <w:pPr>
        <w:spacing w:after="0" w:line="240" w:lineRule="auto"/>
      </w:pPr>
      <w:r>
        <w:continuationSeparator/>
      </w:r>
    </w:p>
  </w:endnote>
  <w:endnote w:type="continuationNotice" w:id="1">
    <w:p w:rsidR="00F80BD4" w:rsidRDefault="00F80B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Default="000074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Default="000074A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Pr="00104A38" w:rsidRDefault="000074AF" w:rsidP="00086209">
    <w:pPr>
      <w:pStyle w:val="ad"/>
      <w:jc w:val="both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Pr="00104A38" w:rsidRDefault="000074AF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D4" w:rsidRDefault="00F80BD4" w:rsidP="00D07079">
      <w:pPr>
        <w:spacing w:after="0" w:line="240" w:lineRule="auto"/>
      </w:pPr>
      <w:r>
        <w:separator/>
      </w:r>
    </w:p>
  </w:footnote>
  <w:footnote w:type="continuationSeparator" w:id="0">
    <w:p w:rsidR="00F80BD4" w:rsidRDefault="00F80BD4" w:rsidP="00D07079">
      <w:pPr>
        <w:spacing w:after="0" w:line="240" w:lineRule="auto"/>
      </w:pPr>
      <w:r>
        <w:continuationSeparator/>
      </w:r>
    </w:p>
  </w:footnote>
  <w:footnote w:type="continuationNotice" w:id="1">
    <w:p w:rsidR="00F80BD4" w:rsidRDefault="00F80B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Default="00007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40607580"/>
      <w:docPartObj>
        <w:docPartGallery w:val="Page Numbers (Top of Page)"/>
        <w:docPartUnique/>
      </w:docPartObj>
    </w:sdtPr>
    <w:sdtContent>
      <w:p w:rsidR="000074AF" w:rsidRPr="00A4750D" w:rsidRDefault="005C3F6E">
        <w:pPr>
          <w:pStyle w:val="ab"/>
          <w:jc w:val="center"/>
          <w:rPr>
            <w:rFonts w:ascii="Times New Roman" w:hAnsi="Times New Roman" w:cs="Times New Roman"/>
          </w:rPr>
        </w:pPr>
      </w:p>
    </w:sdtContent>
  </w:sdt>
  <w:p w:rsidR="000074AF" w:rsidRPr="00A4750D" w:rsidRDefault="000074AF">
    <w:pPr>
      <w:pStyle w:val="ab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F" w:rsidRPr="00104A38" w:rsidRDefault="000074AF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74AF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55B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3B59"/>
    <w:rsid w:val="000C5EF5"/>
    <w:rsid w:val="000C7670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3E2B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2E2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1225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0538"/>
    <w:rsid w:val="00256B88"/>
    <w:rsid w:val="00261849"/>
    <w:rsid w:val="00263EA0"/>
    <w:rsid w:val="00264703"/>
    <w:rsid w:val="00265B6F"/>
    <w:rsid w:val="00265FC2"/>
    <w:rsid w:val="002711D7"/>
    <w:rsid w:val="00276A12"/>
    <w:rsid w:val="0028165E"/>
    <w:rsid w:val="00284B6A"/>
    <w:rsid w:val="00285108"/>
    <w:rsid w:val="002921AD"/>
    <w:rsid w:val="00295FEC"/>
    <w:rsid w:val="00296C91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16241"/>
    <w:rsid w:val="003200D9"/>
    <w:rsid w:val="00321524"/>
    <w:rsid w:val="00322792"/>
    <w:rsid w:val="00322E4A"/>
    <w:rsid w:val="003239D7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611A"/>
    <w:rsid w:val="00376543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53CF"/>
    <w:rsid w:val="003F68AA"/>
    <w:rsid w:val="003F69C9"/>
    <w:rsid w:val="003F6D95"/>
    <w:rsid w:val="003F6EF3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1A8"/>
    <w:rsid w:val="00461BBC"/>
    <w:rsid w:val="00465725"/>
    <w:rsid w:val="00466D8C"/>
    <w:rsid w:val="0047092A"/>
    <w:rsid w:val="004722EA"/>
    <w:rsid w:val="0047277E"/>
    <w:rsid w:val="00472C0B"/>
    <w:rsid w:val="00474F5F"/>
    <w:rsid w:val="0047573F"/>
    <w:rsid w:val="00480115"/>
    <w:rsid w:val="00483048"/>
    <w:rsid w:val="0048407F"/>
    <w:rsid w:val="00487F30"/>
    <w:rsid w:val="00491CA1"/>
    <w:rsid w:val="00495051"/>
    <w:rsid w:val="004958FC"/>
    <w:rsid w:val="00495959"/>
    <w:rsid w:val="00495C96"/>
    <w:rsid w:val="0049751C"/>
    <w:rsid w:val="004A26AC"/>
    <w:rsid w:val="004A2C1D"/>
    <w:rsid w:val="004A377F"/>
    <w:rsid w:val="004A48E1"/>
    <w:rsid w:val="004B37C0"/>
    <w:rsid w:val="004B5304"/>
    <w:rsid w:val="004B5613"/>
    <w:rsid w:val="004C11A0"/>
    <w:rsid w:val="004C190B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1ED"/>
    <w:rsid w:val="004F3DBB"/>
    <w:rsid w:val="004F57D7"/>
    <w:rsid w:val="004F7B90"/>
    <w:rsid w:val="005056AB"/>
    <w:rsid w:val="00506FCD"/>
    <w:rsid w:val="005105CA"/>
    <w:rsid w:val="00510CE6"/>
    <w:rsid w:val="00512376"/>
    <w:rsid w:val="005133D8"/>
    <w:rsid w:val="00515B9A"/>
    <w:rsid w:val="00517A73"/>
    <w:rsid w:val="00525AA0"/>
    <w:rsid w:val="00530CF8"/>
    <w:rsid w:val="005362A8"/>
    <w:rsid w:val="00537010"/>
    <w:rsid w:val="005377EA"/>
    <w:rsid w:val="00537C5D"/>
    <w:rsid w:val="005428D6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0D39"/>
    <w:rsid w:val="005C1E8F"/>
    <w:rsid w:val="005C2538"/>
    <w:rsid w:val="005C2DAA"/>
    <w:rsid w:val="005C3F6E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521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80E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667"/>
    <w:rsid w:val="00636F78"/>
    <w:rsid w:val="00637805"/>
    <w:rsid w:val="006403CE"/>
    <w:rsid w:val="0064281C"/>
    <w:rsid w:val="00645C52"/>
    <w:rsid w:val="00651EB2"/>
    <w:rsid w:val="006536B3"/>
    <w:rsid w:val="00654749"/>
    <w:rsid w:val="00663F17"/>
    <w:rsid w:val="006701A0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2DEF"/>
    <w:rsid w:val="006A3857"/>
    <w:rsid w:val="006A4D3E"/>
    <w:rsid w:val="006B2772"/>
    <w:rsid w:val="006B2F8D"/>
    <w:rsid w:val="006B49EE"/>
    <w:rsid w:val="006C1545"/>
    <w:rsid w:val="006C201E"/>
    <w:rsid w:val="006C2256"/>
    <w:rsid w:val="006C3185"/>
    <w:rsid w:val="006C3DAA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0F88"/>
    <w:rsid w:val="00712BE1"/>
    <w:rsid w:val="0071365A"/>
    <w:rsid w:val="00717D50"/>
    <w:rsid w:val="00721272"/>
    <w:rsid w:val="0072328D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29D"/>
    <w:rsid w:val="00763684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2F87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072B5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55E7F"/>
    <w:rsid w:val="00860EA8"/>
    <w:rsid w:val="0086171B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259B"/>
    <w:rsid w:val="00883E8B"/>
    <w:rsid w:val="00890529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2335"/>
    <w:rsid w:val="008C7803"/>
    <w:rsid w:val="008C7E14"/>
    <w:rsid w:val="008D137A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2930"/>
    <w:rsid w:val="00907617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1E4B"/>
    <w:rsid w:val="00957A63"/>
    <w:rsid w:val="00960593"/>
    <w:rsid w:val="00960B43"/>
    <w:rsid w:val="00960DBB"/>
    <w:rsid w:val="00963052"/>
    <w:rsid w:val="009632A5"/>
    <w:rsid w:val="00963501"/>
    <w:rsid w:val="009654EC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818"/>
    <w:rsid w:val="009A7ED8"/>
    <w:rsid w:val="009B3DB8"/>
    <w:rsid w:val="009B6877"/>
    <w:rsid w:val="009C0DFB"/>
    <w:rsid w:val="009C1C89"/>
    <w:rsid w:val="009C2B0A"/>
    <w:rsid w:val="009C2BAA"/>
    <w:rsid w:val="009C478A"/>
    <w:rsid w:val="009C4F43"/>
    <w:rsid w:val="009C59F4"/>
    <w:rsid w:val="009C7AAF"/>
    <w:rsid w:val="009D093A"/>
    <w:rsid w:val="009D1E6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24CF2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432"/>
    <w:rsid w:val="00A902EE"/>
    <w:rsid w:val="00A90ECF"/>
    <w:rsid w:val="00A90F3C"/>
    <w:rsid w:val="00A92CD5"/>
    <w:rsid w:val="00A94A44"/>
    <w:rsid w:val="00A9755B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54FB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4CFA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48A5"/>
    <w:rsid w:val="00B91ADC"/>
    <w:rsid w:val="00B92335"/>
    <w:rsid w:val="00B92CF5"/>
    <w:rsid w:val="00B94309"/>
    <w:rsid w:val="00B94916"/>
    <w:rsid w:val="00B96667"/>
    <w:rsid w:val="00B969FB"/>
    <w:rsid w:val="00BA03CE"/>
    <w:rsid w:val="00BA0CB7"/>
    <w:rsid w:val="00BA0E01"/>
    <w:rsid w:val="00BA24C5"/>
    <w:rsid w:val="00BA4CBE"/>
    <w:rsid w:val="00BA5243"/>
    <w:rsid w:val="00BA64B2"/>
    <w:rsid w:val="00BB0380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744A"/>
    <w:rsid w:val="00BD5FF9"/>
    <w:rsid w:val="00BE1849"/>
    <w:rsid w:val="00BE2DE4"/>
    <w:rsid w:val="00BE382B"/>
    <w:rsid w:val="00BF07D0"/>
    <w:rsid w:val="00C10F3C"/>
    <w:rsid w:val="00C13540"/>
    <w:rsid w:val="00C13FF9"/>
    <w:rsid w:val="00C17895"/>
    <w:rsid w:val="00C2053F"/>
    <w:rsid w:val="00C217A7"/>
    <w:rsid w:val="00C23434"/>
    <w:rsid w:val="00C310B9"/>
    <w:rsid w:val="00C331A1"/>
    <w:rsid w:val="00C414A2"/>
    <w:rsid w:val="00C42983"/>
    <w:rsid w:val="00C445B7"/>
    <w:rsid w:val="00C53E92"/>
    <w:rsid w:val="00C553B2"/>
    <w:rsid w:val="00C711A4"/>
    <w:rsid w:val="00C71819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3D21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2497"/>
    <w:rsid w:val="00D25756"/>
    <w:rsid w:val="00D2683F"/>
    <w:rsid w:val="00D3164D"/>
    <w:rsid w:val="00D371FC"/>
    <w:rsid w:val="00D40D0E"/>
    <w:rsid w:val="00D41374"/>
    <w:rsid w:val="00D41F97"/>
    <w:rsid w:val="00D424B3"/>
    <w:rsid w:val="00D5006A"/>
    <w:rsid w:val="00D516C3"/>
    <w:rsid w:val="00D51A92"/>
    <w:rsid w:val="00D543D4"/>
    <w:rsid w:val="00D55A9D"/>
    <w:rsid w:val="00D56667"/>
    <w:rsid w:val="00D57DC8"/>
    <w:rsid w:val="00D62A5D"/>
    <w:rsid w:val="00D64F8A"/>
    <w:rsid w:val="00D65021"/>
    <w:rsid w:val="00D70126"/>
    <w:rsid w:val="00D70F18"/>
    <w:rsid w:val="00D7135E"/>
    <w:rsid w:val="00D75351"/>
    <w:rsid w:val="00D80970"/>
    <w:rsid w:val="00D817AD"/>
    <w:rsid w:val="00D8185B"/>
    <w:rsid w:val="00D8188C"/>
    <w:rsid w:val="00D8228B"/>
    <w:rsid w:val="00D822E3"/>
    <w:rsid w:val="00D8273F"/>
    <w:rsid w:val="00D84738"/>
    <w:rsid w:val="00D84E1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3DDB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978"/>
    <w:rsid w:val="00E06BF3"/>
    <w:rsid w:val="00E06CA0"/>
    <w:rsid w:val="00E118AB"/>
    <w:rsid w:val="00E13CC5"/>
    <w:rsid w:val="00E142E4"/>
    <w:rsid w:val="00E203CF"/>
    <w:rsid w:val="00E20891"/>
    <w:rsid w:val="00E214C0"/>
    <w:rsid w:val="00E215A7"/>
    <w:rsid w:val="00E22846"/>
    <w:rsid w:val="00E2476A"/>
    <w:rsid w:val="00E266F5"/>
    <w:rsid w:val="00E26935"/>
    <w:rsid w:val="00E26F74"/>
    <w:rsid w:val="00E273E8"/>
    <w:rsid w:val="00E27EF2"/>
    <w:rsid w:val="00E30A5E"/>
    <w:rsid w:val="00E315DC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A2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52F6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865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0BD4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7C72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A24C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A24C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4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5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3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8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0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2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7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3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31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2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0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5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D9DA-A92C-4F89-B5E2-3B33CEED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42</Pages>
  <Words>10859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User</cp:lastModifiedBy>
  <cp:revision>74</cp:revision>
  <cp:lastPrinted>2023-02-21T17:13:00Z</cp:lastPrinted>
  <dcterms:created xsi:type="dcterms:W3CDTF">2023-02-09T17:11:00Z</dcterms:created>
  <dcterms:modified xsi:type="dcterms:W3CDTF">2023-03-03T05:55:00Z</dcterms:modified>
</cp:coreProperties>
</file>