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BE4AD9">
        <w:rPr>
          <w:rFonts w:ascii="Times New Roman" w:hAnsi="Times New Roman"/>
          <w:i w:val="0"/>
          <w:caps/>
          <w:color w:val="000000" w:themeColor="text1"/>
          <w:sz w:val="32"/>
          <w:szCs w:val="32"/>
        </w:rPr>
        <w:t>КАРМАНОВСКИЙ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BE4AD9">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BE4AD9">
              <w:rPr>
                <w:b/>
                <w:sz w:val="20"/>
                <w:szCs w:val="20"/>
              </w:rPr>
              <w:t xml:space="preserve">Кармановский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BE4AD9">
              <w:rPr>
                <w:b/>
                <w:sz w:val="20"/>
                <w:szCs w:val="20"/>
              </w:rPr>
              <w:t>Кармановский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BE4AD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BE4AD9">
              <w:rPr>
                <w:b/>
                <w:sz w:val="20"/>
                <w:szCs w:val="20"/>
              </w:rPr>
              <w:t>КАРМАНОВСКИЙ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E4AD9">
              <w:rPr>
                <w:b/>
                <w:sz w:val="20"/>
                <w:szCs w:val="20"/>
              </w:rPr>
              <w:t>Кармановский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BE4AD9">
              <w:rPr>
                <w:b/>
                <w:sz w:val="20"/>
                <w:szCs w:val="20"/>
              </w:rPr>
              <w:t>КАРМАНОВСКИЙ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BE4AD9" w:rsidRPr="00BE4AD9">
        <w:rPr>
          <w:sz w:val="28"/>
          <w:szCs w:val="28"/>
        </w:rPr>
        <w:t>Кармановский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BE4AD9" w:rsidRPr="00BE4AD9">
        <w:rPr>
          <w:sz w:val="28"/>
          <w:szCs w:val="28"/>
        </w:rPr>
        <w:t>Кармановский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BE4AD9" w:rsidRPr="00BE4AD9">
        <w:rPr>
          <w:rFonts w:ascii="Times New Roman" w:hAnsi="Times New Roman"/>
          <w:sz w:val="28"/>
          <w:szCs w:val="28"/>
        </w:rPr>
        <w:t>Кармановский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BE4AD9" w:rsidRPr="00BE4AD9">
        <w:rPr>
          <w:rFonts w:ascii="Times New Roman" w:hAnsi="Times New Roman"/>
          <w:sz w:val="28"/>
          <w:szCs w:val="28"/>
        </w:rPr>
        <w:t>Кармановского</w:t>
      </w:r>
      <w:r w:rsidR="004C3DF5" w:rsidRPr="00BE4AD9">
        <w:rPr>
          <w:rStyle w:val="FontStyle18"/>
          <w:sz w:val="28"/>
          <w:szCs w:val="28"/>
        </w:rPr>
        <w:t xml:space="preserve"> </w:t>
      </w:r>
      <w:r w:rsidR="004C3DF5">
        <w:rPr>
          <w:rStyle w:val="FontStyle18"/>
          <w:sz w:val="28"/>
          <w:szCs w:val="28"/>
        </w:rPr>
        <w:t>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BE4AD9" w:rsidRPr="00BE4AD9">
        <w:rPr>
          <w:b/>
          <w:sz w:val="28"/>
          <w:szCs w:val="28"/>
        </w:rPr>
        <w:t>Кармановский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BE4AD9" w:rsidRPr="00BE4AD9">
        <w:rPr>
          <w:b/>
          <w:sz w:val="28"/>
          <w:szCs w:val="28"/>
        </w:rPr>
        <w:t>Кармановский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BE4AD9" w:rsidRPr="00BE4AD9">
        <w:rPr>
          <w:sz w:val="28"/>
          <w:szCs w:val="28"/>
        </w:rPr>
        <w:t>Кармановск</w:t>
      </w:r>
      <w:r w:rsidR="00BE4AD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875" w:type="pct"/>
        <w:tblLayout w:type="fixed"/>
        <w:tblLook w:val="0000"/>
      </w:tblPr>
      <w:tblGrid>
        <w:gridCol w:w="482"/>
        <w:gridCol w:w="1895"/>
        <w:gridCol w:w="1276"/>
        <w:gridCol w:w="1418"/>
        <w:gridCol w:w="1700"/>
        <w:gridCol w:w="2560"/>
      </w:tblGrid>
      <w:tr w:rsidR="00BE4AD9" w:rsidRPr="00EA73E4" w:rsidTr="00510155">
        <w:trPr>
          <w:cantSplit/>
          <w:trHeight w:val="320"/>
        </w:trPr>
        <w:tc>
          <w:tcPr>
            <w:tcW w:w="258" w:type="pct"/>
            <w:vMerge w:val="restart"/>
            <w:tcBorders>
              <w:top w:val="single" w:sz="6" w:space="0" w:color="auto"/>
              <w:left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 п/п</w:t>
            </w:r>
          </w:p>
        </w:tc>
        <w:tc>
          <w:tcPr>
            <w:tcW w:w="1015" w:type="pct"/>
            <w:vMerge w:val="restart"/>
            <w:tcBorders>
              <w:top w:val="single" w:sz="6" w:space="0" w:color="auto"/>
              <w:left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Населенный</w:t>
            </w:r>
          </w:p>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пункт</w:t>
            </w:r>
          </w:p>
        </w:tc>
        <w:tc>
          <w:tcPr>
            <w:tcW w:w="1444" w:type="pct"/>
            <w:gridSpan w:val="2"/>
            <w:tcBorders>
              <w:top w:val="single" w:sz="6" w:space="0" w:color="auto"/>
              <w:left w:val="single" w:sz="6" w:space="0" w:color="auto"/>
              <w:bottom w:val="single" w:sz="4"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Удаленность, км.</w:t>
            </w:r>
          </w:p>
        </w:tc>
        <w:tc>
          <w:tcPr>
            <w:tcW w:w="911"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Число дворов</w:t>
            </w:r>
          </w:p>
        </w:tc>
        <w:tc>
          <w:tcPr>
            <w:tcW w:w="1372" w:type="pct"/>
            <w:vMerge w:val="restart"/>
            <w:tcBorders>
              <w:top w:val="single" w:sz="6" w:space="0" w:color="auto"/>
              <w:left w:val="single" w:sz="6" w:space="0" w:color="auto"/>
              <w:right w:val="single" w:sz="6" w:space="0" w:color="auto"/>
            </w:tcBorders>
            <w:vAlign w:val="center"/>
          </w:tcPr>
          <w:p w:rsidR="00BE4AD9" w:rsidRPr="00EA73E4" w:rsidRDefault="00BE4AD9" w:rsidP="00BE4AD9">
            <w:pPr>
              <w:overflowPunct w:val="0"/>
              <w:autoSpaceDE w:val="0"/>
              <w:autoSpaceDN w:val="0"/>
              <w:adjustRightInd w:val="0"/>
              <w:ind w:left="-111" w:right="-107"/>
              <w:jc w:val="center"/>
              <w:textAlignment w:val="baseline"/>
              <w:rPr>
                <w:b/>
                <w:sz w:val="20"/>
                <w:szCs w:val="20"/>
              </w:rPr>
            </w:pPr>
            <w:r w:rsidRPr="00EA73E4">
              <w:rPr>
                <w:b/>
                <w:sz w:val="20"/>
                <w:szCs w:val="20"/>
              </w:rPr>
              <w:t>Общая численность, чел.</w:t>
            </w:r>
          </w:p>
        </w:tc>
      </w:tr>
      <w:tr w:rsidR="00BE4AD9" w:rsidRPr="00EA73E4" w:rsidTr="00510155">
        <w:trPr>
          <w:cantSplit/>
          <w:trHeight w:val="300"/>
        </w:trPr>
        <w:tc>
          <w:tcPr>
            <w:tcW w:w="258" w:type="pct"/>
            <w:vMerge/>
            <w:tcBorders>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015" w:type="pct"/>
            <w:vMerge/>
            <w:tcBorders>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684" w:type="pct"/>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районного центра, км.</w:t>
            </w:r>
          </w:p>
        </w:tc>
        <w:tc>
          <w:tcPr>
            <w:tcW w:w="760" w:type="pct"/>
            <w:tcBorders>
              <w:top w:val="single" w:sz="4"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от центра МО, км.</w:t>
            </w:r>
          </w:p>
        </w:tc>
        <w:tc>
          <w:tcPr>
            <w:tcW w:w="911"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1372" w:type="pct"/>
            <w:vMerge/>
            <w:tcBorders>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r>
              <w:rPr>
                <w:sz w:val="20"/>
                <w:szCs w:val="20"/>
              </w:rPr>
              <w:t>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287</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441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28</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44</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61</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26</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510155">
            <w:pPr>
              <w:overflowPunct w:val="0"/>
              <w:autoSpaceDE w:val="0"/>
              <w:autoSpaceDN w:val="0"/>
              <w:adjustRightInd w:val="0"/>
              <w:jc w:val="center"/>
              <w:textAlignment w:val="baseline"/>
              <w:rPr>
                <w:sz w:val="20"/>
                <w:szCs w:val="20"/>
              </w:rPr>
            </w:pPr>
            <w:r w:rsidRPr="00EA73E4">
              <w:rPr>
                <w:sz w:val="20"/>
                <w:szCs w:val="20"/>
              </w:rPr>
              <w:t>1</w:t>
            </w:r>
            <w:r w:rsidR="00510155">
              <w:rPr>
                <w:sz w:val="20"/>
                <w:szCs w:val="20"/>
              </w:rPr>
              <w:t>04</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4.</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22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25</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30</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5</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82</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82</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10</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Снецкое</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32</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6</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113</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129</w:t>
            </w:r>
          </w:p>
        </w:tc>
      </w:tr>
      <w:tr w:rsidR="00BE4AD9" w:rsidRPr="00EA73E4" w:rsidTr="00510155">
        <w:trPr>
          <w:cantSplit/>
        </w:trPr>
        <w:tc>
          <w:tcPr>
            <w:tcW w:w="258"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8</w:t>
            </w:r>
          </w:p>
        </w:tc>
        <w:tc>
          <w:tcPr>
            <w:tcW w:w="1015"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д. Мокрыж</w:t>
            </w:r>
          </w:p>
        </w:tc>
        <w:tc>
          <w:tcPr>
            <w:tcW w:w="684" w:type="pct"/>
            <w:tcBorders>
              <w:top w:val="single" w:sz="6"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33</w:t>
            </w: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7</w:t>
            </w: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sz w:val="20"/>
                <w:szCs w:val="20"/>
              </w:rPr>
            </w:pPr>
            <w:r w:rsidRPr="00EA73E4">
              <w:rPr>
                <w:sz w:val="20"/>
                <w:szCs w:val="20"/>
              </w:rPr>
              <w:t>91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sz w:val="20"/>
                <w:szCs w:val="20"/>
              </w:rPr>
            </w:pPr>
            <w:r>
              <w:rPr>
                <w:sz w:val="20"/>
                <w:szCs w:val="20"/>
              </w:rPr>
              <w:t>92</w:t>
            </w:r>
          </w:p>
        </w:tc>
      </w:tr>
      <w:tr w:rsidR="00BE4AD9" w:rsidRPr="00EA73E4" w:rsidTr="00510155">
        <w:trPr>
          <w:cantSplit/>
        </w:trPr>
        <w:tc>
          <w:tcPr>
            <w:tcW w:w="1273" w:type="pct"/>
            <w:gridSpan w:val="2"/>
            <w:tcBorders>
              <w:top w:val="single" w:sz="4" w:space="0" w:color="auto"/>
              <w:left w:val="single" w:sz="6"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Итого:</w:t>
            </w:r>
          </w:p>
        </w:tc>
        <w:tc>
          <w:tcPr>
            <w:tcW w:w="684" w:type="pct"/>
            <w:tcBorders>
              <w:top w:val="single" w:sz="4" w:space="0" w:color="auto"/>
              <w:left w:val="single" w:sz="4" w:space="0" w:color="auto"/>
              <w:bottom w:val="single" w:sz="6" w:space="0" w:color="auto"/>
              <w:right w:val="single" w:sz="4"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760" w:type="pct"/>
            <w:tcBorders>
              <w:top w:val="single" w:sz="6" w:space="0" w:color="auto"/>
              <w:left w:val="single" w:sz="4"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p>
        </w:tc>
        <w:tc>
          <w:tcPr>
            <w:tcW w:w="911" w:type="pct"/>
            <w:tcBorders>
              <w:top w:val="single" w:sz="6" w:space="0" w:color="auto"/>
              <w:left w:val="single" w:sz="6" w:space="0" w:color="auto"/>
              <w:bottom w:val="single" w:sz="6" w:space="0" w:color="auto"/>
              <w:right w:val="single" w:sz="6" w:space="0" w:color="auto"/>
            </w:tcBorders>
            <w:vAlign w:val="center"/>
          </w:tcPr>
          <w:p w:rsidR="00BE4AD9" w:rsidRPr="00EA73E4" w:rsidRDefault="00BE4AD9" w:rsidP="00BE4AD9">
            <w:pPr>
              <w:overflowPunct w:val="0"/>
              <w:autoSpaceDE w:val="0"/>
              <w:autoSpaceDN w:val="0"/>
              <w:adjustRightInd w:val="0"/>
              <w:jc w:val="center"/>
              <w:textAlignment w:val="baseline"/>
              <w:rPr>
                <w:b/>
                <w:sz w:val="20"/>
                <w:szCs w:val="20"/>
              </w:rPr>
            </w:pPr>
            <w:r w:rsidRPr="00EA73E4">
              <w:rPr>
                <w:b/>
                <w:sz w:val="20"/>
                <w:szCs w:val="20"/>
              </w:rPr>
              <w:t>681</w:t>
            </w:r>
          </w:p>
        </w:tc>
        <w:tc>
          <w:tcPr>
            <w:tcW w:w="1372" w:type="pct"/>
            <w:tcBorders>
              <w:top w:val="single" w:sz="6" w:space="0" w:color="auto"/>
              <w:left w:val="single" w:sz="6" w:space="0" w:color="auto"/>
              <w:bottom w:val="single" w:sz="6" w:space="0" w:color="auto"/>
              <w:right w:val="single" w:sz="6" w:space="0" w:color="auto"/>
            </w:tcBorders>
            <w:vAlign w:val="center"/>
          </w:tcPr>
          <w:p w:rsidR="00BE4AD9" w:rsidRPr="00EA73E4" w:rsidRDefault="00510155" w:rsidP="00BE4AD9">
            <w:pPr>
              <w:overflowPunct w:val="0"/>
              <w:autoSpaceDE w:val="0"/>
              <w:autoSpaceDN w:val="0"/>
              <w:adjustRightInd w:val="0"/>
              <w:jc w:val="center"/>
              <w:textAlignment w:val="baseline"/>
              <w:rPr>
                <w:b/>
                <w:sz w:val="20"/>
                <w:szCs w:val="20"/>
              </w:rPr>
            </w:pPr>
            <w:r>
              <w:rPr>
                <w:b/>
                <w:sz w:val="20"/>
                <w:szCs w:val="20"/>
              </w:rPr>
              <w:t>945</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BE4AD9">
        <w:rPr>
          <w:sz w:val="28"/>
          <w:szCs w:val="28"/>
        </w:rPr>
        <w:t>Кармановского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BE4AD9" w:rsidP="00C76F70">
      <w:pPr>
        <w:ind w:right="-2" w:firstLine="709"/>
        <w:jc w:val="both"/>
        <w:rPr>
          <w:sz w:val="28"/>
          <w:szCs w:val="28"/>
        </w:rPr>
      </w:pPr>
      <w:r w:rsidRPr="00BE4AD9">
        <w:rPr>
          <w:sz w:val="28"/>
          <w:szCs w:val="28"/>
        </w:rPr>
        <w:t>Кармановский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BE4AD9" w:rsidRPr="00BE4AD9">
        <w:rPr>
          <w:sz w:val="28"/>
          <w:szCs w:val="28"/>
        </w:rPr>
        <w:t>Кармановск</w:t>
      </w:r>
      <w:r w:rsidR="00BE4AD9">
        <w:rPr>
          <w:sz w:val="28"/>
          <w:szCs w:val="28"/>
        </w:rPr>
        <w:t>ом</w:t>
      </w:r>
      <w:r w:rsidR="00BE4AD9"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E4AD9" w:rsidRPr="00BE4AD9">
        <w:rPr>
          <w:sz w:val="28"/>
          <w:szCs w:val="28"/>
        </w:rPr>
        <w:t>Кармановск</w:t>
      </w:r>
      <w:r w:rsidR="00BE4AD9">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BE4AD9">
        <w:rPr>
          <w:sz w:val="28"/>
          <w:szCs w:val="28"/>
        </w:rPr>
        <w:t>Кармановском</w:t>
      </w:r>
      <w:r w:rsidR="00A5004E">
        <w:rPr>
          <w:sz w:val="28"/>
          <w:szCs w:val="28"/>
        </w:rPr>
        <w:t xml:space="preserve"> </w:t>
      </w:r>
      <w:r w:rsidR="00724DA2">
        <w:rPr>
          <w:sz w:val="28"/>
          <w:szCs w:val="28"/>
        </w:rPr>
        <w:t xml:space="preserve">сельсовете, составляет </w:t>
      </w:r>
      <w:r w:rsidR="00BE4AD9">
        <w:rPr>
          <w:sz w:val="28"/>
          <w:szCs w:val="28"/>
        </w:rPr>
        <w:t>945</w:t>
      </w:r>
      <w:r w:rsidRPr="00FB7DF5">
        <w:rPr>
          <w:sz w:val="28"/>
          <w:szCs w:val="28"/>
        </w:rPr>
        <w:t xml:space="preserve"> </w:t>
      </w:r>
      <w:r w:rsidRPr="00166A16">
        <w:rPr>
          <w:sz w:val="28"/>
          <w:szCs w:val="28"/>
        </w:rPr>
        <w:t>человека</w:t>
      </w:r>
      <w:r w:rsidR="00031D66" w:rsidRPr="00166A16">
        <w:rPr>
          <w:sz w:val="28"/>
          <w:szCs w:val="28"/>
        </w:rPr>
        <w:t xml:space="preserve"> или </w:t>
      </w:r>
      <w:r w:rsidR="00BE4AD9">
        <w:rPr>
          <w:sz w:val="28"/>
          <w:szCs w:val="28"/>
        </w:rPr>
        <w:t>6,02</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BE4AD9">
        <w:rPr>
          <w:bCs/>
        </w:rPr>
        <w:t>1</w:t>
      </w:r>
      <w:r w:rsidRPr="009073DE">
        <w:rPr>
          <w:bCs/>
        </w:rPr>
        <w:t xml:space="preserve"> – Динамика численности населен</w:t>
      </w:r>
      <w:r w:rsidR="00031D66" w:rsidRPr="009073DE">
        <w:rPr>
          <w:bCs/>
        </w:rPr>
        <w:t xml:space="preserve">ия населенных пунктов </w:t>
      </w:r>
      <w:r w:rsidR="00BE4AD9" w:rsidRPr="00BE4AD9">
        <w:t>Кармановского</w:t>
      </w:r>
      <w:r w:rsidR="00BE4AD9" w:rsidRPr="009073DE">
        <w:rPr>
          <w:bCs/>
        </w:rPr>
        <w:t xml:space="preserve"> </w:t>
      </w:r>
      <w:r w:rsidR="009073DE" w:rsidRPr="009073DE">
        <w:rPr>
          <w:bCs/>
        </w:rPr>
        <w:t>сельсовета</w:t>
      </w:r>
      <w:r w:rsidRPr="009073DE">
        <w:rPr>
          <w:bCs/>
        </w:rPr>
        <w:t xml:space="preserve"> (на начало года)</w:t>
      </w:r>
    </w:p>
    <w:tbl>
      <w:tblPr>
        <w:tblW w:w="4796" w:type="pct"/>
        <w:tblLayout w:type="fixed"/>
        <w:tblLook w:val="0000"/>
      </w:tblPr>
      <w:tblGrid>
        <w:gridCol w:w="815"/>
        <w:gridCol w:w="2554"/>
        <w:gridCol w:w="3118"/>
        <w:gridCol w:w="2693"/>
      </w:tblGrid>
      <w:tr w:rsidR="00266E55" w:rsidRPr="00EA73E4" w:rsidTr="00266E55">
        <w:trPr>
          <w:cantSplit/>
          <w:trHeight w:val="775"/>
        </w:trPr>
        <w:tc>
          <w:tcPr>
            <w:tcW w:w="444" w:type="pct"/>
            <w:tcBorders>
              <w:top w:val="single" w:sz="6" w:space="0" w:color="auto"/>
              <w:left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 п/п</w:t>
            </w:r>
          </w:p>
        </w:tc>
        <w:tc>
          <w:tcPr>
            <w:tcW w:w="1391" w:type="pct"/>
            <w:tcBorders>
              <w:top w:val="single" w:sz="6" w:space="0" w:color="auto"/>
              <w:left w:val="single" w:sz="4"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Населенный</w:t>
            </w:r>
          </w:p>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пункт</w:t>
            </w:r>
          </w:p>
        </w:tc>
        <w:tc>
          <w:tcPr>
            <w:tcW w:w="1698" w:type="pct"/>
            <w:tcBorders>
              <w:top w:val="single" w:sz="6" w:space="0" w:color="auto"/>
              <w:left w:val="single" w:sz="4" w:space="0" w:color="auto"/>
              <w:right w:val="single" w:sz="6" w:space="0" w:color="auto"/>
            </w:tcBorders>
            <w:vAlign w:val="center"/>
          </w:tcPr>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01.01.2014</w:t>
            </w:r>
          </w:p>
        </w:tc>
        <w:tc>
          <w:tcPr>
            <w:tcW w:w="1467" w:type="pct"/>
            <w:tcBorders>
              <w:top w:val="single" w:sz="6" w:space="0" w:color="auto"/>
              <w:left w:val="single" w:sz="4" w:space="0" w:color="auto"/>
              <w:right w:val="single" w:sz="6" w:space="0" w:color="auto"/>
            </w:tcBorders>
          </w:tcPr>
          <w:p w:rsidR="00266E55" w:rsidRDefault="00266E55" w:rsidP="0065694F">
            <w:pPr>
              <w:overflowPunct w:val="0"/>
              <w:autoSpaceDE w:val="0"/>
              <w:autoSpaceDN w:val="0"/>
              <w:adjustRightInd w:val="0"/>
              <w:ind w:left="-111" w:right="-107"/>
              <w:jc w:val="center"/>
              <w:textAlignment w:val="baseline"/>
              <w:rPr>
                <w:b/>
                <w:sz w:val="20"/>
                <w:szCs w:val="20"/>
              </w:rPr>
            </w:pPr>
          </w:p>
          <w:p w:rsidR="00266E55"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 xml:space="preserve">Общая численность, </w:t>
            </w:r>
          </w:p>
          <w:p w:rsidR="00266E55" w:rsidRPr="00EA73E4" w:rsidRDefault="00266E55" w:rsidP="0065694F">
            <w:pPr>
              <w:overflowPunct w:val="0"/>
              <w:autoSpaceDE w:val="0"/>
              <w:autoSpaceDN w:val="0"/>
              <w:adjustRightInd w:val="0"/>
              <w:ind w:left="-111" w:right="-107"/>
              <w:jc w:val="center"/>
              <w:textAlignment w:val="baseline"/>
              <w:rPr>
                <w:b/>
                <w:sz w:val="20"/>
                <w:szCs w:val="20"/>
              </w:rPr>
            </w:pPr>
            <w:r w:rsidRPr="00EA73E4">
              <w:rPr>
                <w:b/>
                <w:sz w:val="20"/>
                <w:szCs w:val="20"/>
              </w:rPr>
              <w:t>чел.</w:t>
            </w:r>
            <w:r>
              <w:rPr>
                <w:b/>
                <w:sz w:val="20"/>
                <w:szCs w:val="20"/>
              </w:rPr>
              <w:t xml:space="preserve"> на 01.01.2022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Карманово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570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441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Погорельцево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61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Воропаево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110</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104</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4.</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ст.</w:t>
            </w:r>
            <w:r>
              <w:rPr>
                <w:sz w:val="20"/>
                <w:szCs w:val="20"/>
              </w:rPr>
              <w:t xml:space="preserve"> </w:t>
            </w:r>
            <w:r w:rsidRPr="00EA73E4">
              <w:rPr>
                <w:sz w:val="20"/>
                <w:szCs w:val="20"/>
              </w:rPr>
              <w:t>Мицень</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33</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25</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5.</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с.</w:t>
            </w:r>
            <w:r>
              <w:rPr>
                <w:sz w:val="20"/>
                <w:szCs w:val="20"/>
              </w:rPr>
              <w:t xml:space="preserve"> </w:t>
            </w:r>
            <w:r w:rsidRPr="00EA73E4">
              <w:rPr>
                <w:sz w:val="20"/>
                <w:szCs w:val="20"/>
              </w:rPr>
              <w:t>Злобино</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128</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82</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6.</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w:t>
            </w:r>
            <w:r>
              <w:rPr>
                <w:sz w:val="20"/>
                <w:szCs w:val="20"/>
              </w:rPr>
              <w:t xml:space="preserve"> </w:t>
            </w:r>
            <w:r w:rsidRPr="00EA73E4">
              <w:rPr>
                <w:sz w:val="20"/>
                <w:szCs w:val="20"/>
              </w:rPr>
              <w:t>Александровка</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19</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11</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7</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Снецкое</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245</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129</w:t>
            </w:r>
          </w:p>
        </w:tc>
      </w:tr>
      <w:tr w:rsidR="00266E55" w:rsidRPr="00EA73E4" w:rsidTr="00266E55">
        <w:trPr>
          <w:cantSplit/>
        </w:trPr>
        <w:tc>
          <w:tcPr>
            <w:tcW w:w="444" w:type="pct"/>
            <w:tcBorders>
              <w:top w:val="single" w:sz="6"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8</w:t>
            </w:r>
            <w:r>
              <w:rPr>
                <w:sz w:val="20"/>
                <w:szCs w:val="20"/>
              </w:rPr>
              <w:t>.</w:t>
            </w:r>
          </w:p>
        </w:tc>
        <w:tc>
          <w:tcPr>
            <w:tcW w:w="1391"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д. Мокрыж</w:t>
            </w:r>
          </w:p>
        </w:tc>
        <w:tc>
          <w:tcPr>
            <w:tcW w:w="1698" w:type="pct"/>
            <w:tcBorders>
              <w:top w:val="single" w:sz="6" w:space="0" w:color="auto"/>
              <w:left w:val="single" w:sz="4" w:space="0" w:color="auto"/>
              <w:bottom w:val="single" w:sz="6" w:space="0" w:color="auto"/>
              <w:right w:val="single" w:sz="6" w:space="0" w:color="auto"/>
            </w:tcBorders>
            <w:vAlign w:val="center"/>
          </w:tcPr>
          <w:p w:rsidR="00266E55" w:rsidRPr="00EA73E4" w:rsidRDefault="00266E55" w:rsidP="0065694F">
            <w:pPr>
              <w:overflowPunct w:val="0"/>
              <w:autoSpaceDE w:val="0"/>
              <w:autoSpaceDN w:val="0"/>
              <w:adjustRightInd w:val="0"/>
              <w:jc w:val="center"/>
              <w:textAlignment w:val="baseline"/>
              <w:rPr>
                <w:sz w:val="20"/>
                <w:szCs w:val="20"/>
              </w:rPr>
            </w:pPr>
            <w:r w:rsidRPr="00EA73E4">
              <w:rPr>
                <w:sz w:val="20"/>
                <w:szCs w:val="20"/>
              </w:rPr>
              <w:t>146</w:t>
            </w:r>
          </w:p>
        </w:tc>
        <w:tc>
          <w:tcPr>
            <w:tcW w:w="1467" w:type="pct"/>
            <w:tcBorders>
              <w:top w:val="single" w:sz="6" w:space="0" w:color="auto"/>
              <w:left w:val="single" w:sz="4" w:space="0" w:color="auto"/>
              <w:bottom w:val="single" w:sz="6" w:space="0" w:color="auto"/>
              <w:right w:val="single" w:sz="6" w:space="0" w:color="auto"/>
            </w:tcBorders>
          </w:tcPr>
          <w:p w:rsidR="00266E55" w:rsidRPr="00EA73E4" w:rsidRDefault="00266E55" w:rsidP="0065694F">
            <w:pPr>
              <w:overflowPunct w:val="0"/>
              <w:autoSpaceDE w:val="0"/>
              <w:autoSpaceDN w:val="0"/>
              <w:adjustRightInd w:val="0"/>
              <w:jc w:val="center"/>
              <w:textAlignment w:val="baseline"/>
              <w:rPr>
                <w:sz w:val="20"/>
                <w:szCs w:val="20"/>
              </w:rPr>
            </w:pPr>
            <w:r>
              <w:rPr>
                <w:sz w:val="20"/>
                <w:szCs w:val="20"/>
              </w:rPr>
              <w:t>92</w:t>
            </w:r>
          </w:p>
        </w:tc>
      </w:tr>
      <w:tr w:rsidR="00266E55" w:rsidRPr="00EA73E4" w:rsidTr="00266E55">
        <w:trPr>
          <w:cantSplit/>
        </w:trPr>
        <w:tc>
          <w:tcPr>
            <w:tcW w:w="1835" w:type="pct"/>
            <w:gridSpan w:val="2"/>
            <w:tcBorders>
              <w:top w:val="single" w:sz="4" w:space="0" w:color="auto"/>
              <w:left w:val="single" w:sz="6" w:space="0" w:color="auto"/>
              <w:bottom w:val="single" w:sz="6" w:space="0" w:color="auto"/>
              <w:right w:val="single" w:sz="4" w:space="0" w:color="auto"/>
            </w:tcBorders>
            <w:vAlign w:val="center"/>
          </w:tcPr>
          <w:p w:rsidR="00266E55" w:rsidRPr="00EA73E4" w:rsidRDefault="00266E55" w:rsidP="0065694F">
            <w:pPr>
              <w:overflowPunct w:val="0"/>
              <w:autoSpaceDE w:val="0"/>
              <w:autoSpaceDN w:val="0"/>
              <w:adjustRightInd w:val="0"/>
              <w:jc w:val="center"/>
              <w:textAlignment w:val="baseline"/>
              <w:rPr>
                <w:b/>
                <w:sz w:val="20"/>
                <w:szCs w:val="20"/>
              </w:rPr>
            </w:pPr>
            <w:r w:rsidRPr="00EA73E4">
              <w:rPr>
                <w:b/>
                <w:sz w:val="20"/>
                <w:szCs w:val="20"/>
              </w:rPr>
              <w:t>Итого:</w:t>
            </w:r>
          </w:p>
        </w:tc>
        <w:tc>
          <w:tcPr>
            <w:tcW w:w="1698" w:type="pct"/>
            <w:tcBorders>
              <w:top w:val="single" w:sz="4" w:space="0" w:color="auto"/>
              <w:left w:val="single" w:sz="6" w:space="0" w:color="auto"/>
              <w:bottom w:val="single" w:sz="6" w:space="0" w:color="auto"/>
              <w:right w:val="single" w:sz="6" w:space="0" w:color="auto"/>
            </w:tcBorders>
          </w:tcPr>
          <w:p w:rsidR="00266E55" w:rsidRDefault="00266E55" w:rsidP="0065694F">
            <w:pPr>
              <w:overflowPunct w:val="0"/>
              <w:autoSpaceDE w:val="0"/>
              <w:autoSpaceDN w:val="0"/>
              <w:adjustRightInd w:val="0"/>
              <w:jc w:val="center"/>
              <w:textAlignment w:val="baseline"/>
              <w:rPr>
                <w:b/>
                <w:sz w:val="20"/>
                <w:szCs w:val="20"/>
              </w:rPr>
            </w:pPr>
            <w:r>
              <w:rPr>
                <w:b/>
                <w:sz w:val="20"/>
                <w:szCs w:val="20"/>
              </w:rPr>
              <w:t>1331</w:t>
            </w:r>
          </w:p>
        </w:tc>
        <w:tc>
          <w:tcPr>
            <w:tcW w:w="1467" w:type="pct"/>
            <w:tcBorders>
              <w:top w:val="single" w:sz="4" w:space="0" w:color="auto"/>
              <w:left w:val="single" w:sz="6" w:space="0" w:color="auto"/>
              <w:bottom w:val="single" w:sz="6" w:space="0" w:color="auto"/>
              <w:right w:val="single" w:sz="4" w:space="0" w:color="auto"/>
            </w:tcBorders>
          </w:tcPr>
          <w:p w:rsidR="00266E55" w:rsidRPr="00EA73E4" w:rsidRDefault="00266E55" w:rsidP="0065694F">
            <w:pPr>
              <w:overflowPunct w:val="0"/>
              <w:autoSpaceDE w:val="0"/>
              <w:autoSpaceDN w:val="0"/>
              <w:adjustRightInd w:val="0"/>
              <w:jc w:val="center"/>
              <w:textAlignment w:val="baseline"/>
              <w:rPr>
                <w:b/>
                <w:sz w:val="20"/>
                <w:szCs w:val="20"/>
              </w:rPr>
            </w:pPr>
            <w:r>
              <w:rPr>
                <w:b/>
                <w:sz w:val="20"/>
                <w:szCs w:val="20"/>
              </w:rPr>
              <w:t>945</w:t>
            </w:r>
          </w:p>
        </w:tc>
      </w:tr>
    </w:tbl>
    <w:p w:rsidR="00510155" w:rsidRDefault="00510155"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BE4AD9">
        <w:rPr>
          <w:color w:val="000000" w:themeColor="text1"/>
          <w:sz w:val="28"/>
        </w:rPr>
        <w:t>КАРМАНОВСКИЙ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BE4AD9">
        <w:rPr>
          <w:b/>
          <w:color w:val="000000" w:themeColor="text1"/>
          <w:sz w:val="28"/>
          <w:szCs w:val="28"/>
        </w:rPr>
        <w:t>«</w:t>
      </w:r>
      <w:r w:rsidR="00BE4AD9" w:rsidRPr="00BE4AD9">
        <w:rPr>
          <w:b/>
          <w:sz w:val="28"/>
          <w:szCs w:val="28"/>
        </w:rPr>
        <w:t>Кармановский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BE4AD9" w:rsidRPr="00BE4AD9">
        <w:rPr>
          <w:sz w:val="28"/>
          <w:szCs w:val="28"/>
        </w:rPr>
        <w:t>Кармановский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9B7FDA">
        <w:rPr>
          <w:sz w:val="28"/>
        </w:rPr>
        <w:t>МУНИЦИПАЛЬНОГО ОБРАЗОВАНИЯ «</w:t>
      </w:r>
      <w:r w:rsidR="00BE4AD9">
        <w:rPr>
          <w:color w:val="000000" w:themeColor="text1"/>
          <w:sz w:val="28"/>
        </w:rPr>
        <w:t>КАРМАНОВСКИЙ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BE4AD9" w:rsidRPr="00BE4AD9">
        <w:rPr>
          <w:sz w:val="28"/>
          <w:szCs w:val="28"/>
        </w:rPr>
        <w:t>Кармановский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BE4AD9" w:rsidRPr="00BE4AD9">
        <w:rPr>
          <w:sz w:val="28"/>
          <w:szCs w:val="28"/>
        </w:rPr>
        <w:t>Кармановский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BE4AD9" w:rsidRPr="00BE4AD9">
        <w:rPr>
          <w:sz w:val="28"/>
          <w:szCs w:val="28"/>
        </w:rPr>
        <w:t>Кармановский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BE4AD9" w:rsidRPr="00BE4AD9">
        <w:rPr>
          <w:b w:val="0"/>
        </w:rPr>
        <w:t>Кармановского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24F" w:rsidRDefault="00A6524F" w:rsidP="00BB7348">
      <w:r>
        <w:separator/>
      </w:r>
    </w:p>
  </w:endnote>
  <w:endnote w:type="continuationSeparator" w:id="1">
    <w:p w:rsidR="00A6524F" w:rsidRDefault="00A6524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24F" w:rsidRDefault="00A6524F" w:rsidP="00BB7348">
      <w:r>
        <w:separator/>
      </w:r>
    </w:p>
  </w:footnote>
  <w:footnote w:type="continuationSeparator" w:id="1">
    <w:p w:rsidR="00A6524F" w:rsidRDefault="00A6524F" w:rsidP="00BB7348">
      <w:r>
        <w:continuationSeparator/>
      </w:r>
    </w:p>
  </w:footnote>
  <w:footnote w:id="2">
    <w:p w:rsidR="00BE4AD9" w:rsidRDefault="00BE4AD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AD9" w:rsidRDefault="00BE4AD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AD9" w:rsidRDefault="00036C62">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B7FDA" w:rsidRPr="009B7FDA">
          <w:rPr>
            <w:rFonts w:ascii="Times New Roman" w:hAnsi="Times New Roman" w:cs="Times New Roman"/>
            <w:noProof/>
            <w:lang w:val="ru-RU"/>
          </w:rPr>
          <w:t>10</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Default="00BE4AD9">
    <w:pPr>
      <w:pStyle w:val="ac"/>
      <w:jc w:val="center"/>
    </w:pPr>
  </w:p>
  <w:p w:rsidR="00BE4AD9" w:rsidRDefault="00BE4AD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AD9" w:rsidRDefault="00036C62">
        <w:pPr>
          <w:pStyle w:val="ac"/>
          <w:jc w:val="center"/>
        </w:pPr>
        <w:r w:rsidRPr="00CA4E64">
          <w:rPr>
            <w:rFonts w:ascii="Times New Roman" w:hAnsi="Times New Roman" w:cs="Times New Roman"/>
          </w:rPr>
          <w:fldChar w:fldCharType="begin"/>
        </w:r>
        <w:r w:rsidR="00BE4AD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B7FDA" w:rsidRPr="009B7FDA">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D9" w:rsidRPr="0010196E" w:rsidRDefault="00BE4AD9">
    <w:pPr>
      <w:pStyle w:val="ac"/>
      <w:jc w:val="center"/>
      <w:rPr>
        <w:lang w:val="ru-RU"/>
      </w:rPr>
    </w:pPr>
  </w:p>
  <w:p w:rsidR="00BE4AD9" w:rsidRDefault="00BE4A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C62"/>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E55"/>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A7752"/>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155"/>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55B3"/>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B7FDA"/>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AD9"/>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81"/>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4</cp:revision>
  <cp:lastPrinted>2021-04-27T07:51:00Z</cp:lastPrinted>
  <dcterms:created xsi:type="dcterms:W3CDTF">2022-04-20T13:37:00Z</dcterms:created>
  <dcterms:modified xsi:type="dcterms:W3CDTF">2022-04-27T08:15:00Z</dcterms:modified>
</cp:coreProperties>
</file>