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6" w:rsidRDefault="00586CF6" w:rsidP="003922A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367498">
        <w:rPr>
          <w:sz w:val="28"/>
          <w:szCs w:val="28"/>
        </w:rPr>
        <w:t xml:space="preserve"> Профилактика правонарушений  на территории Железногорского района на период2015-2017 годы и плановый период 2020 года», подпрограммы №2 «Обеспечение правопорядка  на территории Железногорского района на 2015 2020 годы»</w:t>
      </w: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871CB0" w:rsidRDefault="00871CB0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исполнитель   Администрация Железногорского района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Курской области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Отчетная дата                            За 2016 год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</w:t>
      </w:r>
      <w:r w:rsidR="00367498">
        <w:rPr>
          <w:b w:val="0"/>
          <w:sz w:val="28"/>
          <w:szCs w:val="28"/>
        </w:rPr>
        <w:t xml:space="preserve">составления отчета          10 февраля </w:t>
      </w:r>
      <w:r w:rsidR="004C575F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года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Исполнитель                             Скрипник Н.В. начальник отдела по делам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ГО и ЧС Администрации Железногорского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района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Телефон   8 (47148) 2-50-34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Адрес электронной почты отсутствует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871CB0" w:rsidRPr="00B75616" w:rsidRDefault="00ED4179" w:rsidP="00B75616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Н.В. Скрипник</w:t>
      </w:r>
    </w:p>
    <w:p w:rsidR="00253333" w:rsidRPr="00E23AA7" w:rsidRDefault="002D5C3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lastRenderedPageBreak/>
        <w:t>ОТЧЕТ</w:t>
      </w:r>
    </w:p>
    <w:p w:rsidR="00CB6F24" w:rsidRDefault="00942842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Уважаемые члены оценочной комиссии!</w:t>
      </w:r>
    </w:p>
    <w:p w:rsidR="00E23AA7" w:rsidRPr="00E23AA7" w:rsidRDefault="00E23AA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B11E0C" w:rsidRPr="00C544F1" w:rsidRDefault="00E23AA7" w:rsidP="00C544F1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b w:val="0"/>
          <w:sz w:val="28"/>
          <w:szCs w:val="28"/>
        </w:rPr>
      </w:pPr>
      <w:r w:rsidRPr="00E23AA7">
        <w:rPr>
          <w:sz w:val="28"/>
          <w:szCs w:val="28"/>
        </w:rPr>
        <w:t xml:space="preserve">  </w:t>
      </w:r>
      <w:r w:rsidR="00C544F1">
        <w:rPr>
          <w:sz w:val="28"/>
          <w:szCs w:val="28"/>
        </w:rPr>
        <w:t xml:space="preserve">     </w:t>
      </w:r>
      <w:r w:rsidRPr="00C544F1">
        <w:rPr>
          <w:b w:val="0"/>
          <w:sz w:val="28"/>
          <w:szCs w:val="28"/>
        </w:rPr>
        <w:t xml:space="preserve">Постановлением </w:t>
      </w:r>
      <w:r w:rsidR="00AD6EA7" w:rsidRPr="00C544F1">
        <w:rPr>
          <w:b w:val="0"/>
          <w:sz w:val="28"/>
          <w:szCs w:val="28"/>
        </w:rPr>
        <w:t>№</w:t>
      </w:r>
      <w:r w:rsidR="00A009BA">
        <w:rPr>
          <w:b w:val="0"/>
          <w:sz w:val="28"/>
          <w:szCs w:val="28"/>
        </w:rPr>
        <w:t xml:space="preserve"> 639 от 1 декабря</w:t>
      </w:r>
      <w:r w:rsidR="00F51943" w:rsidRPr="00C544F1">
        <w:rPr>
          <w:b w:val="0"/>
          <w:sz w:val="28"/>
          <w:szCs w:val="28"/>
        </w:rPr>
        <w:t xml:space="preserve"> 2016</w:t>
      </w:r>
      <w:r w:rsidR="00C544F1">
        <w:rPr>
          <w:b w:val="0"/>
          <w:sz w:val="28"/>
          <w:szCs w:val="28"/>
        </w:rPr>
        <w:t xml:space="preserve">г.  принята районная муниципальная </w:t>
      </w:r>
      <w:r w:rsidR="00C96D39" w:rsidRPr="00C544F1">
        <w:rPr>
          <w:b w:val="0"/>
          <w:sz w:val="28"/>
          <w:szCs w:val="28"/>
        </w:rPr>
        <w:t xml:space="preserve">программа </w:t>
      </w:r>
      <w:r w:rsidR="00F51943" w:rsidRPr="00C544F1">
        <w:rPr>
          <w:b w:val="0"/>
          <w:sz w:val="28"/>
          <w:szCs w:val="28"/>
        </w:rPr>
        <w:t>«</w:t>
      </w:r>
      <w:r w:rsidR="00A009BA">
        <w:rPr>
          <w:b w:val="0"/>
          <w:sz w:val="28"/>
          <w:szCs w:val="28"/>
        </w:rPr>
        <w:t>Профилактика правонарушений на территории</w:t>
      </w:r>
      <w:r w:rsidR="005F4404">
        <w:rPr>
          <w:b w:val="0"/>
          <w:sz w:val="28"/>
          <w:szCs w:val="28"/>
        </w:rPr>
        <w:t xml:space="preserve"> Железногорского района на период 2015-2017 годы и плановый период 2020 года</w:t>
      </w:r>
      <w:r w:rsidR="00F51943" w:rsidRPr="00C544F1">
        <w:rPr>
          <w:b w:val="0"/>
          <w:sz w:val="28"/>
          <w:szCs w:val="28"/>
        </w:rPr>
        <w:t>»</w:t>
      </w:r>
      <w:r w:rsidR="005F4404">
        <w:rPr>
          <w:b w:val="0"/>
          <w:sz w:val="28"/>
          <w:szCs w:val="28"/>
        </w:rPr>
        <w:t>, подпрограммы №2 «Обеспечение правопорядка на территории Железногорского района на 2015-2020 годы.</w:t>
      </w:r>
    </w:p>
    <w:p w:rsidR="00E23AA7" w:rsidRDefault="00895CFA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3AA7">
        <w:rPr>
          <w:rFonts w:ascii="Times New Roman" w:hAnsi="Times New Roman" w:cs="Times New Roman"/>
          <w:sz w:val="28"/>
          <w:szCs w:val="28"/>
        </w:rPr>
        <w:t>сновными задачами программы</w:t>
      </w:r>
      <w:r w:rsidR="008C3FA0" w:rsidRPr="00E23AA7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C544F1" w:rsidRDefault="00C544F1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обеспечения безопасности жизнедеятельности населения Железногорского района Курской области</w:t>
      </w:r>
      <w:r w:rsidR="005B2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единой распределительной мультисервисной платформой;</w:t>
      </w:r>
    </w:p>
    <w:p w:rsidR="00EE365F" w:rsidRDefault="00C544F1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5F">
        <w:rPr>
          <w:rFonts w:ascii="Times New Roman" w:hAnsi="Times New Roman" w:cs="Times New Roman"/>
          <w:sz w:val="28"/>
          <w:szCs w:val="28"/>
        </w:rPr>
        <w:t>снижение количества населения пострадавшего в чрезвычайных ситуациях;</w:t>
      </w:r>
    </w:p>
    <w:p w:rsidR="00EE365F" w:rsidRDefault="00EE365F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материального ущерба при чрезвычайных ситуациях;</w:t>
      </w:r>
    </w:p>
    <w:p w:rsidR="008C3FA0" w:rsidRPr="00D47F00" w:rsidRDefault="005B2ED3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E365F">
        <w:rPr>
          <w:rFonts w:ascii="Times New Roman" w:hAnsi="Times New Roman" w:cs="Times New Roman"/>
          <w:sz w:val="28"/>
          <w:szCs w:val="28"/>
        </w:rPr>
        <w:t>меньшение соци</w:t>
      </w:r>
      <w:r w:rsidR="0083342C">
        <w:rPr>
          <w:rFonts w:ascii="Times New Roman" w:hAnsi="Times New Roman" w:cs="Times New Roman"/>
          <w:sz w:val="28"/>
          <w:szCs w:val="28"/>
        </w:rPr>
        <w:t>ального риска (числа погибших в дорожно-транспортных происшествиях, на 100 тыс. населения</w:t>
      </w:r>
      <w:r w:rsidR="00EE365F">
        <w:rPr>
          <w:rFonts w:ascii="Times New Roman" w:hAnsi="Times New Roman" w:cs="Times New Roman"/>
          <w:sz w:val="28"/>
          <w:szCs w:val="28"/>
        </w:rPr>
        <w:t>)</w:t>
      </w:r>
      <w:r w:rsidR="0083342C">
        <w:rPr>
          <w:rFonts w:ascii="Times New Roman" w:hAnsi="Times New Roman" w:cs="Times New Roman"/>
          <w:sz w:val="28"/>
          <w:szCs w:val="28"/>
        </w:rPr>
        <w:t>.</w:t>
      </w:r>
      <w:r w:rsidR="008C3FA0" w:rsidRPr="00D47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342C" w:rsidRDefault="008C3FA0" w:rsidP="00A90B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E23AA7">
        <w:rPr>
          <w:sz w:val="28"/>
          <w:szCs w:val="28"/>
        </w:rPr>
        <w:t>Основной целью районной муниципальной Программы является</w:t>
      </w:r>
      <w:r w:rsidR="0083342C">
        <w:rPr>
          <w:sz w:val="28"/>
          <w:szCs w:val="28"/>
        </w:rPr>
        <w:t>:</w:t>
      </w:r>
    </w:p>
    <w:p w:rsidR="0083342C" w:rsidRDefault="0083342C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формирование единой коммуникационной платформы для органов местного самоуправления с целью устранения рисков обеспе</w:t>
      </w:r>
      <w:r w:rsidR="005F4404">
        <w:rPr>
          <w:sz w:val="28"/>
          <w:szCs w:val="28"/>
        </w:rPr>
        <w:t>чения общественной безопасности</w:t>
      </w:r>
      <w:r>
        <w:rPr>
          <w:sz w:val="28"/>
          <w:szCs w:val="28"/>
        </w:rPr>
        <w:t>, правопорядка и безопасности среды обитания на базе межведомственного взаимодействия;</w:t>
      </w:r>
    </w:p>
    <w:p w:rsidR="0083342C" w:rsidRDefault="0083342C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обеспечение информ</w:t>
      </w:r>
      <w:r w:rsidR="005B2ED3">
        <w:rPr>
          <w:sz w:val="28"/>
          <w:szCs w:val="28"/>
        </w:rPr>
        <w:t>ационного обмена на муниципальных</w:t>
      </w:r>
      <w:r>
        <w:rPr>
          <w:sz w:val="28"/>
          <w:szCs w:val="28"/>
        </w:rPr>
        <w:t xml:space="preserve"> уровнях, через единое информационное пространство с учетом разграничения прав доступа к информации разного характера;</w:t>
      </w:r>
    </w:p>
    <w:p w:rsidR="0083342C" w:rsidRDefault="0083342C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создание дополнительных инструментов на базе муниципальных образований</w:t>
      </w:r>
      <w:r w:rsidR="005B2ED3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оптимизации работы</w:t>
      </w:r>
      <w:r w:rsidR="005B2ED3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существующей системы мониторинга состояния общественной безопасности.</w:t>
      </w:r>
    </w:p>
    <w:p w:rsidR="005B2ED3" w:rsidRDefault="005B2ED3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муниципальной программой, отделом ГО и ЧС Администрации Железногорского района разработан </w:t>
      </w:r>
      <w:r w:rsidR="00367498">
        <w:rPr>
          <w:sz w:val="28"/>
          <w:szCs w:val="28"/>
        </w:rPr>
        <w:t>пакет документов на реализацию и обеспечение правопорядка на территории Железногорского района,</w:t>
      </w:r>
      <w:r w:rsidRPr="00C544F1">
        <w:rPr>
          <w:sz w:val="28"/>
          <w:szCs w:val="28"/>
        </w:rPr>
        <w:t xml:space="preserve"> безопасности жизнедеятельности населения Железногорского района аппаратно программного комплекса «Безопасный город»</w:t>
      </w:r>
      <w:r>
        <w:rPr>
          <w:sz w:val="28"/>
          <w:szCs w:val="28"/>
        </w:rPr>
        <w:t>. Основопологающим документом начала реализации данной муниципальной программы является</w:t>
      </w:r>
      <w:r w:rsidR="005B2DEA">
        <w:rPr>
          <w:sz w:val="28"/>
          <w:szCs w:val="28"/>
        </w:rPr>
        <w:t xml:space="preserve"> техн</w:t>
      </w:r>
      <w:r w:rsidR="00AC5283">
        <w:rPr>
          <w:sz w:val="28"/>
          <w:szCs w:val="28"/>
        </w:rPr>
        <w:t>ическое задание на построение (р</w:t>
      </w:r>
      <w:r w:rsidR="005B2DEA">
        <w:rPr>
          <w:sz w:val="28"/>
          <w:szCs w:val="28"/>
        </w:rPr>
        <w:t>азвитие) технического проекта аппаратно – программного комплекса «Безопасный город»  на базе единой диспетчерской службы Администрации Железногорского района.</w:t>
      </w:r>
    </w:p>
    <w:p w:rsidR="00AC5283" w:rsidRDefault="00D575EE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 сентября 2016 года</w:t>
      </w:r>
      <w:r w:rsidR="00AC5283">
        <w:rPr>
          <w:sz w:val="28"/>
          <w:szCs w:val="28"/>
        </w:rPr>
        <w:t xml:space="preserve"> техническое задание АПК «Безопасный город»</w:t>
      </w:r>
      <w:r>
        <w:rPr>
          <w:sz w:val="28"/>
          <w:szCs w:val="28"/>
        </w:rPr>
        <w:t xml:space="preserve"> </w:t>
      </w:r>
      <w:r w:rsidR="00AC52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после некоторых в нем уточнений, </w:t>
      </w:r>
      <w:r>
        <w:rPr>
          <w:sz w:val="28"/>
          <w:szCs w:val="28"/>
        </w:rPr>
        <w:tab/>
      </w:r>
      <w:r w:rsidR="00B37084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повторно направлено в Главное управление МЧС России по Курской области,  для согласования и экспертного заключения советом главных конструкторов </w:t>
      </w:r>
      <w:r w:rsidR="00B370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г. Москва. </w:t>
      </w:r>
      <w:r w:rsidR="00B37084">
        <w:rPr>
          <w:sz w:val="28"/>
          <w:szCs w:val="28"/>
        </w:rPr>
        <w:t>Экспертное заключение  технического задания АПК «Безопасный город» Железногорского района, по независящим от нас причинам до настоящего времени не проведено. По  имеющееся информации экспе</w:t>
      </w:r>
      <w:r w:rsidR="00200544">
        <w:rPr>
          <w:sz w:val="28"/>
          <w:szCs w:val="28"/>
        </w:rPr>
        <w:t>ртное заключение будет исполнено</w:t>
      </w:r>
      <w:r w:rsidR="00367498">
        <w:rPr>
          <w:sz w:val="28"/>
          <w:szCs w:val="28"/>
        </w:rPr>
        <w:t xml:space="preserve"> </w:t>
      </w:r>
      <w:r w:rsidR="00D90A87">
        <w:rPr>
          <w:sz w:val="28"/>
          <w:szCs w:val="28"/>
        </w:rPr>
        <w:t>в  2017 году</w:t>
      </w:r>
      <w:r w:rsidR="00200544">
        <w:rPr>
          <w:sz w:val="28"/>
          <w:szCs w:val="28"/>
        </w:rPr>
        <w:t xml:space="preserve">. </w:t>
      </w:r>
    </w:p>
    <w:p w:rsidR="00200544" w:rsidRDefault="00D90A87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200544">
        <w:rPr>
          <w:sz w:val="28"/>
          <w:szCs w:val="28"/>
        </w:rPr>
        <w:t>енежные средства</w:t>
      </w:r>
      <w:r w:rsidR="00C02B8C" w:rsidRPr="00C02B8C">
        <w:rPr>
          <w:sz w:val="28"/>
          <w:szCs w:val="28"/>
        </w:rPr>
        <w:t xml:space="preserve"> </w:t>
      </w:r>
      <w:r w:rsidR="00C02B8C">
        <w:rPr>
          <w:sz w:val="28"/>
          <w:szCs w:val="28"/>
        </w:rPr>
        <w:t>в сумме 103,0 тыс. рублей</w:t>
      </w:r>
      <w:r w:rsidR="00200544">
        <w:rPr>
          <w:sz w:val="28"/>
          <w:szCs w:val="28"/>
        </w:rPr>
        <w:t>, запланированные на реализацию муниципальной программы  аппаратно – программного комплекса «Безопасный город»  Железногорского района из средств муниципального бюджета на</w:t>
      </w:r>
      <w:r>
        <w:rPr>
          <w:sz w:val="28"/>
          <w:szCs w:val="28"/>
        </w:rPr>
        <w:t xml:space="preserve"> 2016 год не освоены</w:t>
      </w:r>
      <w:r w:rsidR="00200544">
        <w:rPr>
          <w:sz w:val="28"/>
          <w:szCs w:val="28"/>
        </w:rPr>
        <w:t>.</w:t>
      </w:r>
    </w:p>
    <w:p w:rsidR="00D575EE" w:rsidRDefault="00D575EE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5B2ED3" w:rsidRDefault="005B2ED3" w:rsidP="0083342C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8C6790" w:rsidRDefault="008C6790" w:rsidP="008C6790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317A27" w:rsidRDefault="00317A27" w:rsidP="00A90B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317A27" w:rsidRPr="00E23AA7" w:rsidRDefault="00317A27" w:rsidP="00A90BDA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DB1DA8" w:rsidRPr="00E23AA7" w:rsidRDefault="00DB1DA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544192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544192">
        <w:trPr>
          <w:trHeight w:hRule="exact" w:val="8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05F80" w:rsidRPr="00A63C5C" w:rsidRDefault="00005F80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3060A7">
        <w:trPr>
          <w:trHeight w:hRule="exact" w:val="44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49A" w:rsidRDefault="00AC5283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  <w:r w:rsidRPr="003060A7">
              <w:rPr>
                <w:sz w:val="16"/>
                <w:szCs w:val="16"/>
              </w:rPr>
              <w:t>муниципальная программа «</w:t>
            </w:r>
            <w:r w:rsidR="00D90A8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Pr="003060A7">
              <w:rPr>
                <w:sz w:val="16"/>
                <w:szCs w:val="16"/>
              </w:rPr>
              <w:t>»</w:t>
            </w:r>
            <w:r w:rsidR="00D90A87">
              <w:rPr>
                <w:sz w:val="16"/>
                <w:szCs w:val="16"/>
              </w:rPr>
              <w:t xml:space="preserve">, подпрограммы №2 «Обеспечение правопорядка на территории Железногорского района на 2015-2020г </w:t>
            </w:r>
          </w:p>
          <w:p w:rsidR="00D90A87" w:rsidRDefault="00D90A87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  <w:p w:rsidR="00D90A87" w:rsidRPr="003060A7" w:rsidRDefault="00D90A87" w:rsidP="00D90A87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FC2563">
        <w:trPr>
          <w:trHeight w:hRule="exact"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C2563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населения, пострадавшего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2D3822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социального риска (числа лиц, погибших в дорожно-транспортных происшествиях на 100 тыс.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2D3822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2,6 %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Экономический 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501178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501178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5011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5011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2475EC">
            <w:pPr>
              <w:pStyle w:val="af"/>
              <w:shd w:val="clear" w:color="auto" w:fill="auto"/>
              <w:spacing w:after="0" w:line="170" w:lineRule="exact"/>
              <w:ind w:left="196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005F80">
        <w:trPr>
          <w:trHeight w:hRule="exact"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22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B0043" w:rsidRDefault="008B0043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Pr="00C46C3D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A63C5C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A63C5C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A63C5C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A63C5C" w:rsidTr="00A25B12">
        <w:trPr>
          <w:trHeight w:hRule="exact" w:val="464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2475EC" w:rsidRPr="00A63C5C" w:rsidRDefault="002475EC" w:rsidP="00C92AE7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A63C5C">
              <w:rPr>
                <w:b/>
                <w:spacing w:val="-2"/>
                <w:sz w:val="16"/>
                <w:szCs w:val="16"/>
              </w:rPr>
              <w:t>«</w:t>
            </w:r>
            <w:r w:rsidR="00C92AE7" w:rsidRPr="003060A7">
              <w:rPr>
                <w:sz w:val="16"/>
                <w:szCs w:val="16"/>
              </w:rPr>
              <w:t>«</w:t>
            </w:r>
            <w:r w:rsidR="00C92AE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="00C92AE7" w:rsidRPr="003060A7">
              <w:rPr>
                <w:sz w:val="16"/>
                <w:szCs w:val="16"/>
              </w:rPr>
              <w:t>»</w:t>
            </w:r>
            <w:r w:rsidR="00C92AE7">
              <w:rPr>
                <w:sz w:val="16"/>
                <w:szCs w:val="16"/>
              </w:rPr>
              <w:t>, подпрограммы №2 «Обеспечение правопорядка на территории Железногорского района на 2015-2020г</w:t>
            </w:r>
            <w:r w:rsidR="004E407A">
              <w:rPr>
                <w:b/>
                <w:spacing w:val="-2"/>
                <w:sz w:val="16"/>
                <w:szCs w:val="16"/>
              </w:rPr>
              <w:t>»</w:t>
            </w:r>
          </w:p>
        </w:tc>
      </w:tr>
      <w:tr w:rsidR="002475EC" w:rsidRPr="00A63C5C" w:rsidTr="00B44AC2">
        <w:trPr>
          <w:trHeight w:hRule="exact" w:val="4144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B44AC2" w:rsidRPr="00B44AC2" w:rsidRDefault="00251E31" w:rsidP="00251E31">
            <w:pPr>
              <w:pStyle w:val="af"/>
              <w:shd w:val="clear" w:color="auto" w:fill="auto"/>
              <w:spacing w:after="0" w:line="202" w:lineRule="exact"/>
              <w:ind w:firstLine="0"/>
              <w:jc w:val="left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4AC2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Создание на территории Железногорского района Курской области комплесной системы обеспечения безопасности жизнедеятельности н</w:t>
            </w:r>
            <w:r w:rsidR="00B44AC2" w:rsidRPr="00B44AC2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аселения Железногорского  района аппаратно-програмного комплекса «Безопасныйгород</w:t>
            </w:r>
          </w:p>
          <w:p w:rsidR="002475EC" w:rsidRPr="00B44AC2" w:rsidRDefault="002475EC" w:rsidP="00B44AC2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shd w:val="clear" w:color="auto" w:fill="FFFFFF"/>
          </w:tcPr>
          <w:p w:rsidR="002475EC" w:rsidRPr="004E407A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Отдел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</w:t>
            </w:r>
            <w:r w:rsidR="00B44AC2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</w:t>
            </w:r>
            <w:r w:rsidR="00B44AC2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14" w:type="dxa"/>
            <w:shd w:val="clear" w:color="auto" w:fill="FFFFFF"/>
          </w:tcPr>
          <w:p w:rsidR="00B44AC2" w:rsidRDefault="00B44AC2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 w:rsidRPr="00B44AC2">
              <w:rPr>
                <w:sz w:val="16"/>
                <w:szCs w:val="16"/>
              </w:rPr>
              <w:t>создание</w:t>
            </w:r>
            <w:r>
              <w:rPr>
                <w:sz w:val="16"/>
                <w:szCs w:val="16"/>
              </w:rPr>
              <w:t>комплексной системы обеспечения безопасности жизнедеятельности населения с единой распределительной мультисервисной платформой</w:t>
            </w:r>
            <w:r w:rsidR="00E041A5">
              <w:rPr>
                <w:sz w:val="16"/>
                <w:szCs w:val="16"/>
              </w:rPr>
              <w:t>;</w:t>
            </w:r>
            <w:r w:rsidRPr="00B44AC2">
              <w:rPr>
                <w:sz w:val="16"/>
                <w:szCs w:val="16"/>
              </w:rPr>
              <w:t xml:space="preserve"> </w:t>
            </w:r>
            <w:r w:rsidR="00E041A5">
              <w:rPr>
                <w:sz w:val="16"/>
                <w:szCs w:val="16"/>
              </w:rPr>
              <w:t>;</w:t>
            </w:r>
            <w:r>
              <w:t xml:space="preserve">                                   </w:t>
            </w:r>
            <w:r w:rsidR="00370B54">
              <w:t>-</w:t>
            </w:r>
            <w:r>
              <w:rPr>
                <w:sz w:val="16"/>
                <w:szCs w:val="16"/>
              </w:rPr>
              <w:t>снижение к</w:t>
            </w:r>
            <w:r w:rsidR="00E041A5">
              <w:rPr>
                <w:sz w:val="16"/>
                <w:szCs w:val="16"/>
              </w:rPr>
              <w:t>оличества чрезвычайных ситуаций;</w:t>
            </w:r>
            <w:r>
              <w:rPr>
                <w:sz w:val="16"/>
                <w:szCs w:val="16"/>
              </w:rPr>
              <w:t xml:space="preserve"> </w:t>
            </w:r>
          </w:p>
          <w:p w:rsidR="00B44AC2" w:rsidRDefault="00B44AC2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снижение количества населения, пострадавшего в чрезвычайных ситуациях</w:t>
            </w:r>
            <w:r w:rsidR="00E041A5">
              <w:rPr>
                <w:sz w:val="16"/>
                <w:szCs w:val="16"/>
              </w:rPr>
              <w:t>;</w:t>
            </w:r>
          </w:p>
          <w:p w:rsidR="00E041A5" w:rsidRDefault="00E041A5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снизить материальный ущерб при чрезвычайных ситуациях;</w:t>
            </w:r>
          </w:p>
          <w:p w:rsidR="00E041A5" w:rsidRDefault="00E041A5" w:rsidP="00B44AC2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уменьшить социальный риск (числа лиц, погибших в дорожно-транспортных происшествиях).</w:t>
            </w:r>
          </w:p>
          <w:p w:rsidR="00370B54" w:rsidRPr="004E407A" w:rsidRDefault="00370B54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shd w:val="clear" w:color="auto" w:fill="FFFFFF"/>
          </w:tcPr>
          <w:p w:rsidR="002475EC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увеличение количества чрезвычайных ситуаций на 10 %;</w:t>
            </w:r>
          </w:p>
          <w:p w:rsidR="00E041A5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 w:rsidRPr="00E041A5">
              <w:rPr>
                <w:sz w:val="16"/>
                <w:szCs w:val="16"/>
              </w:rPr>
              <w:t>увеличение</w:t>
            </w:r>
            <w:r>
              <w:rPr>
                <w:sz w:val="16"/>
                <w:szCs w:val="16"/>
              </w:rPr>
              <w:t xml:space="preserve"> количества населения, пострадавшего в чрезвычайных ситуациях на 15 %;</w:t>
            </w:r>
          </w:p>
          <w:p w:rsidR="00E041A5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Уменьшение социального риска (числа лиц, погибших в дорожно-транспортных происшествиях на 100 тыс. населения) на 2,6 %</w:t>
            </w:r>
          </w:p>
          <w:p w:rsidR="00E041A5" w:rsidRPr="00A63C5C" w:rsidRDefault="00E041A5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 увеличение экономический ущерб</w:t>
            </w: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3D" w:rsidRPr="00A63C5C" w:rsidTr="00421435">
        <w:trPr>
          <w:trHeight w:hRule="exact" w:val="235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57" w:type="dxa"/>
            <w:gridSpan w:val="7"/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0" w:line="170" w:lineRule="exact"/>
              <w:ind w:left="-512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A63C5C" w:rsidRPr="00A63C5C" w:rsidTr="00A63C5C">
        <w:trPr>
          <w:trHeight w:hRule="exact" w:val="624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</w:tcPr>
          <w:p w:rsidR="002475EC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C46C3D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63C5C" w:rsidRDefault="00A63C5C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F27144" w:rsidRDefault="00F27144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67498" w:rsidRDefault="0036749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A63C5C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программы,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программы,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ресурсного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Оценка расходов ( руб.), годы</w:t>
            </w:r>
          </w:p>
        </w:tc>
      </w:tr>
      <w:tr w:rsidR="00C46C3D" w:rsidRPr="00A63C5C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второй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6C3D" w:rsidRPr="00A63C5C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C46C3D" w:rsidRPr="00A63C5C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Default="00A25B12" w:rsidP="00E041A5">
            <w:pPr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E041A5" w:rsidRPr="00B75616" w:rsidRDefault="00B75616" w:rsidP="00C92AE7">
            <w:pPr>
              <w:pStyle w:val="af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5616">
              <w:rPr>
                <w:sz w:val="16"/>
                <w:szCs w:val="16"/>
              </w:rPr>
              <w:t>«</w:t>
            </w:r>
            <w:r w:rsidR="00C92AE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="00C92AE7" w:rsidRPr="003060A7">
              <w:rPr>
                <w:sz w:val="16"/>
                <w:szCs w:val="16"/>
              </w:rPr>
              <w:t>»</w:t>
            </w:r>
            <w:r w:rsidR="00C92AE7">
              <w:rPr>
                <w:sz w:val="16"/>
                <w:szCs w:val="16"/>
              </w:rPr>
              <w:t>, подпрограммы №2 «Обеспечение правопорядка на территории Железногорского района на 2015-2020г</w:t>
            </w:r>
            <w:r w:rsidRPr="00B75616">
              <w:rPr>
                <w:sz w:val="16"/>
                <w:szCs w:val="16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  <w:p w:rsidR="006C7667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C7667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C7667" w:rsidRPr="00A63C5C" w:rsidRDefault="006C766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252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92AE7" w:rsidP="0054419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255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B75616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103,0 тыс.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2475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A25B12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B75616">
        <w:trPr>
          <w:trHeight w:hRule="exact" w:val="1083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  <w:hyperlink w:anchor="bookmark11" w:tooltip="Current Document" w:history="1">
              <w:r w:rsidRPr="00A63C5C">
                <w:rPr>
                  <w:rStyle w:val="CourierNew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63C5C">
                <w:rPr>
                  <w:rStyle w:val="CourierNew3"/>
                  <w:rFonts w:ascii="Times New Roman" w:hAnsi="Times New Roman" w:cs="Times New Roman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F27144" w:rsidRDefault="00F27144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C74D55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C74D55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программы,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ресурсного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  <w:p w:rsidR="00C74D55" w:rsidRPr="00C74D55" w:rsidRDefault="00691256" w:rsidP="00C74D55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b/>
                <w:sz w:val="18"/>
                <w:szCs w:val="18"/>
              </w:rPr>
            </w:pPr>
            <w:hyperlink w:anchor="bookmark32" w:tooltip="Current Document" w:history="1">
              <w:r w:rsidR="00C74D55" w:rsidRPr="00C74D55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C74D55">
                <w:rPr>
                  <w:rStyle w:val="CourierNew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C74D55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C74D55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C74D55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4192" w:rsidRPr="00C74D55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544192" w:rsidRPr="00C74D55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C92AE7" w:rsidRDefault="00A25B12" w:rsidP="00B75616">
            <w:pPr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B75616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«</w:t>
            </w:r>
            <w:r w:rsidR="00C92AE7">
              <w:rPr>
                <w:sz w:val="16"/>
                <w:szCs w:val="16"/>
              </w:rPr>
              <w:t>Профилактика правонарушений на территории Железногорского района на период 2015-2017 годы и плановый период 2020года</w:t>
            </w:r>
            <w:r w:rsidR="00C92AE7" w:rsidRPr="003060A7">
              <w:rPr>
                <w:sz w:val="16"/>
                <w:szCs w:val="16"/>
              </w:rPr>
              <w:t>»</w:t>
            </w:r>
            <w:r w:rsidR="00C92AE7">
              <w:rPr>
                <w:sz w:val="16"/>
                <w:szCs w:val="16"/>
              </w:rPr>
              <w:t xml:space="preserve">, подпрограммы№2«Обеспечение правопорядка на территории Железногорского района </w:t>
            </w:r>
          </w:p>
          <w:p w:rsidR="00544192" w:rsidRDefault="00C92AE7" w:rsidP="00C92AE7">
            <w:pP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на2015-2020г</w:t>
            </w:r>
            <w:r w:rsidR="00B75616" w:rsidRPr="00B75616">
              <w:rPr>
                <w:sz w:val="16"/>
                <w:szCs w:val="16"/>
              </w:rPr>
              <w:t>»</w:t>
            </w:r>
            <w:r w:rsidR="00A25B12"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од</w:t>
            </w:r>
            <w:r w:rsidR="00A25B12"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  <w:p w:rsidR="00B75616" w:rsidRPr="00544192" w:rsidRDefault="00B75616" w:rsidP="00B756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103,0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 тыс. руб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</w:p>
        </w:tc>
      </w:tr>
      <w:tr w:rsidR="00544192" w:rsidRPr="00C74D55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C74D55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544192" w:rsidRPr="00C74D55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B75616" w:rsidP="00E2691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103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C74D55" w:rsidRDefault="00B75616" w:rsidP="00C74D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E2691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,0 тыс. руб.</w:t>
            </w:r>
          </w:p>
        </w:tc>
      </w:tr>
      <w:tr w:rsidR="00544192" w:rsidRPr="00C74D55" w:rsidTr="00C92AE7">
        <w:trPr>
          <w:trHeight w:hRule="exact" w:val="2175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C74D55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544192" w:rsidRPr="00C74D55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C74D5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C74D55" w:rsidRDefault="00544192" w:rsidP="00C74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B12343" w:rsidRDefault="00B12343" w:rsidP="00A90BDA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20" w:right="520" w:firstLine="480"/>
        <w:rPr>
          <w:sz w:val="20"/>
          <w:szCs w:val="20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p w:rsidR="00B12343" w:rsidRPr="00C74D55" w:rsidRDefault="00B12343" w:rsidP="00A90BDA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0"/>
          <w:szCs w:val="20"/>
        </w:rPr>
      </w:pPr>
    </w:p>
    <w:p w:rsidR="00B12343" w:rsidRPr="004D3D28" w:rsidRDefault="00B12343" w:rsidP="00C74D55">
      <w:pPr>
        <w:pStyle w:val="20"/>
        <w:shd w:val="clear" w:color="auto" w:fill="auto"/>
        <w:tabs>
          <w:tab w:val="left" w:pos="0"/>
          <w:tab w:val="left" w:pos="6739"/>
        </w:tabs>
        <w:spacing w:before="0" w:line="240" w:lineRule="auto"/>
        <w:ind w:firstLine="0"/>
        <w:rPr>
          <w:b/>
          <w:sz w:val="26"/>
          <w:szCs w:val="26"/>
        </w:rPr>
      </w:pPr>
    </w:p>
    <w:sectPr w:rsidR="00B12343" w:rsidRPr="004D3D28" w:rsidSect="00421435">
      <w:pgSz w:w="11900" w:h="16840"/>
      <w:pgMar w:top="426" w:right="815" w:bottom="709" w:left="155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BB" w:rsidRDefault="00CA51BB" w:rsidP="00253333">
      <w:r>
        <w:separator/>
      </w:r>
    </w:p>
  </w:endnote>
  <w:endnote w:type="continuationSeparator" w:id="1">
    <w:p w:rsidR="00CA51BB" w:rsidRDefault="00CA51BB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BB" w:rsidRDefault="00CA51BB"/>
  </w:footnote>
  <w:footnote w:type="continuationSeparator" w:id="1">
    <w:p w:rsidR="00CA51BB" w:rsidRDefault="00CA5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05F80"/>
    <w:rsid w:val="00020D6F"/>
    <w:rsid w:val="00026746"/>
    <w:rsid w:val="00040976"/>
    <w:rsid w:val="00043525"/>
    <w:rsid w:val="0005558E"/>
    <w:rsid w:val="00067B62"/>
    <w:rsid w:val="000827D1"/>
    <w:rsid w:val="00084B01"/>
    <w:rsid w:val="000970C0"/>
    <w:rsid w:val="000B74DE"/>
    <w:rsid w:val="000C4D27"/>
    <w:rsid w:val="001355CC"/>
    <w:rsid w:val="00153C94"/>
    <w:rsid w:val="001564D0"/>
    <w:rsid w:val="001723B5"/>
    <w:rsid w:val="0019511B"/>
    <w:rsid w:val="001B7914"/>
    <w:rsid w:val="001D5CA3"/>
    <w:rsid w:val="00200544"/>
    <w:rsid w:val="002110F8"/>
    <w:rsid w:val="00224CDD"/>
    <w:rsid w:val="002266DC"/>
    <w:rsid w:val="00233014"/>
    <w:rsid w:val="002475EC"/>
    <w:rsid w:val="00251E31"/>
    <w:rsid w:val="00253333"/>
    <w:rsid w:val="00286E58"/>
    <w:rsid w:val="0029134A"/>
    <w:rsid w:val="002C30C6"/>
    <w:rsid w:val="002D04D4"/>
    <w:rsid w:val="002D1F2E"/>
    <w:rsid w:val="002D3822"/>
    <w:rsid w:val="002D5C37"/>
    <w:rsid w:val="002F337A"/>
    <w:rsid w:val="003060A7"/>
    <w:rsid w:val="00317A27"/>
    <w:rsid w:val="0033050F"/>
    <w:rsid w:val="003660A4"/>
    <w:rsid w:val="00367498"/>
    <w:rsid w:val="00370B54"/>
    <w:rsid w:val="003716F6"/>
    <w:rsid w:val="00376D2C"/>
    <w:rsid w:val="00382CE5"/>
    <w:rsid w:val="003922A9"/>
    <w:rsid w:val="003B5CB8"/>
    <w:rsid w:val="003F0E36"/>
    <w:rsid w:val="003F3842"/>
    <w:rsid w:val="003F667A"/>
    <w:rsid w:val="00400C1C"/>
    <w:rsid w:val="00421435"/>
    <w:rsid w:val="004258A8"/>
    <w:rsid w:val="004352E2"/>
    <w:rsid w:val="004371EF"/>
    <w:rsid w:val="004521FE"/>
    <w:rsid w:val="0047284E"/>
    <w:rsid w:val="004A727C"/>
    <w:rsid w:val="004B3A13"/>
    <w:rsid w:val="004B73B8"/>
    <w:rsid w:val="004C38AB"/>
    <w:rsid w:val="004C575F"/>
    <w:rsid w:val="004D3D28"/>
    <w:rsid w:val="004E28A1"/>
    <w:rsid w:val="004E407A"/>
    <w:rsid w:val="00501178"/>
    <w:rsid w:val="00544192"/>
    <w:rsid w:val="00586CF6"/>
    <w:rsid w:val="005A055E"/>
    <w:rsid w:val="005A79B4"/>
    <w:rsid w:val="005B2DEA"/>
    <w:rsid w:val="005B2ED3"/>
    <w:rsid w:val="005B59F1"/>
    <w:rsid w:val="005C17AB"/>
    <w:rsid w:val="005C76F8"/>
    <w:rsid w:val="005D3045"/>
    <w:rsid w:val="005D6510"/>
    <w:rsid w:val="005F4404"/>
    <w:rsid w:val="006231C4"/>
    <w:rsid w:val="00637F9B"/>
    <w:rsid w:val="00651D2F"/>
    <w:rsid w:val="00651D3E"/>
    <w:rsid w:val="00665011"/>
    <w:rsid w:val="00670324"/>
    <w:rsid w:val="00684C36"/>
    <w:rsid w:val="00691256"/>
    <w:rsid w:val="006926EA"/>
    <w:rsid w:val="006C7667"/>
    <w:rsid w:val="006E773E"/>
    <w:rsid w:val="00711905"/>
    <w:rsid w:val="00713992"/>
    <w:rsid w:val="007353B5"/>
    <w:rsid w:val="0073671A"/>
    <w:rsid w:val="00744B50"/>
    <w:rsid w:val="007455C0"/>
    <w:rsid w:val="0075462A"/>
    <w:rsid w:val="0077711B"/>
    <w:rsid w:val="007A2BA9"/>
    <w:rsid w:val="007A5656"/>
    <w:rsid w:val="007B1A67"/>
    <w:rsid w:val="007B50CB"/>
    <w:rsid w:val="007F70B0"/>
    <w:rsid w:val="008057BD"/>
    <w:rsid w:val="00816F13"/>
    <w:rsid w:val="0083342C"/>
    <w:rsid w:val="008670C3"/>
    <w:rsid w:val="00867116"/>
    <w:rsid w:val="00871CB0"/>
    <w:rsid w:val="00873D41"/>
    <w:rsid w:val="0089120A"/>
    <w:rsid w:val="00895784"/>
    <w:rsid w:val="00895CFA"/>
    <w:rsid w:val="008B0043"/>
    <w:rsid w:val="008B525B"/>
    <w:rsid w:val="008C3FA0"/>
    <w:rsid w:val="008C6790"/>
    <w:rsid w:val="008D4A83"/>
    <w:rsid w:val="00925ED9"/>
    <w:rsid w:val="00940590"/>
    <w:rsid w:val="0094254F"/>
    <w:rsid w:val="00942842"/>
    <w:rsid w:val="009460FE"/>
    <w:rsid w:val="009932E2"/>
    <w:rsid w:val="009C0C30"/>
    <w:rsid w:val="009C2649"/>
    <w:rsid w:val="009D2770"/>
    <w:rsid w:val="009E24A0"/>
    <w:rsid w:val="009E64F1"/>
    <w:rsid w:val="00A009BA"/>
    <w:rsid w:val="00A20125"/>
    <w:rsid w:val="00A25B12"/>
    <w:rsid w:val="00A3036D"/>
    <w:rsid w:val="00A45B7B"/>
    <w:rsid w:val="00A63C5C"/>
    <w:rsid w:val="00A85162"/>
    <w:rsid w:val="00A90BDA"/>
    <w:rsid w:val="00A9304B"/>
    <w:rsid w:val="00A94BC1"/>
    <w:rsid w:val="00AB7480"/>
    <w:rsid w:val="00AB780A"/>
    <w:rsid w:val="00AC5283"/>
    <w:rsid w:val="00AD6EA7"/>
    <w:rsid w:val="00AD7608"/>
    <w:rsid w:val="00AE5D0D"/>
    <w:rsid w:val="00AF20A4"/>
    <w:rsid w:val="00B11E0C"/>
    <w:rsid w:val="00B12343"/>
    <w:rsid w:val="00B37084"/>
    <w:rsid w:val="00B44AC2"/>
    <w:rsid w:val="00B5315A"/>
    <w:rsid w:val="00B75616"/>
    <w:rsid w:val="00B7649A"/>
    <w:rsid w:val="00B83DAD"/>
    <w:rsid w:val="00BB174C"/>
    <w:rsid w:val="00BB1C05"/>
    <w:rsid w:val="00BF2C4E"/>
    <w:rsid w:val="00C0010A"/>
    <w:rsid w:val="00C02B8C"/>
    <w:rsid w:val="00C05905"/>
    <w:rsid w:val="00C1175C"/>
    <w:rsid w:val="00C46C3D"/>
    <w:rsid w:val="00C544F1"/>
    <w:rsid w:val="00C74D55"/>
    <w:rsid w:val="00C92AE7"/>
    <w:rsid w:val="00C96D39"/>
    <w:rsid w:val="00CA00D2"/>
    <w:rsid w:val="00CA44B0"/>
    <w:rsid w:val="00CA51BB"/>
    <w:rsid w:val="00CA5432"/>
    <w:rsid w:val="00CB6F24"/>
    <w:rsid w:val="00CC57CA"/>
    <w:rsid w:val="00CD134C"/>
    <w:rsid w:val="00CD55F0"/>
    <w:rsid w:val="00D06776"/>
    <w:rsid w:val="00D2299F"/>
    <w:rsid w:val="00D31AB2"/>
    <w:rsid w:val="00D328E0"/>
    <w:rsid w:val="00D40943"/>
    <w:rsid w:val="00D47F00"/>
    <w:rsid w:val="00D575EE"/>
    <w:rsid w:val="00D90A87"/>
    <w:rsid w:val="00D95005"/>
    <w:rsid w:val="00D95AFE"/>
    <w:rsid w:val="00DA1D7D"/>
    <w:rsid w:val="00DB1DA8"/>
    <w:rsid w:val="00DC2870"/>
    <w:rsid w:val="00DC7063"/>
    <w:rsid w:val="00DC72DD"/>
    <w:rsid w:val="00DD3083"/>
    <w:rsid w:val="00DE6A4A"/>
    <w:rsid w:val="00DF3D3A"/>
    <w:rsid w:val="00E004C7"/>
    <w:rsid w:val="00E041A5"/>
    <w:rsid w:val="00E05634"/>
    <w:rsid w:val="00E23AA7"/>
    <w:rsid w:val="00E26916"/>
    <w:rsid w:val="00E34243"/>
    <w:rsid w:val="00E355A5"/>
    <w:rsid w:val="00E4160C"/>
    <w:rsid w:val="00E42A93"/>
    <w:rsid w:val="00E47013"/>
    <w:rsid w:val="00E52114"/>
    <w:rsid w:val="00E66B71"/>
    <w:rsid w:val="00E67344"/>
    <w:rsid w:val="00E87BE0"/>
    <w:rsid w:val="00E9548D"/>
    <w:rsid w:val="00EC5AC2"/>
    <w:rsid w:val="00ED4179"/>
    <w:rsid w:val="00EE365F"/>
    <w:rsid w:val="00F27144"/>
    <w:rsid w:val="00F440EB"/>
    <w:rsid w:val="00F44B4F"/>
    <w:rsid w:val="00F51943"/>
    <w:rsid w:val="00F744D3"/>
    <w:rsid w:val="00F844C6"/>
    <w:rsid w:val="00FC2563"/>
    <w:rsid w:val="00FD1FEB"/>
    <w:rsid w:val="00FE294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paragraph" w:styleId="af1">
    <w:name w:val="No Spacing"/>
    <w:uiPriority w:val="1"/>
    <w:qFormat/>
    <w:rsid w:val="00B756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58E93E-4F29-4837-84A3-9B7FAA7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Маринченко</cp:lastModifiedBy>
  <cp:revision>42</cp:revision>
  <cp:lastPrinted>2016-12-06T06:43:00Z</cp:lastPrinted>
  <dcterms:created xsi:type="dcterms:W3CDTF">2016-11-30T08:08:00Z</dcterms:created>
  <dcterms:modified xsi:type="dcterms:W3CDTF">2017-02-08T08:39:00Z</dcterms:modified>
</cp:coreProperties>
</file>